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NORMA BRASILEIRA DE CONTABILIDADE, REVISÃO NBC XX, DE XX DE XXXX DE 2018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tabs>
          <w:tab w:val="left" w:pos="-720" w:leader="none"/>
          <w:tab w:val="left" w:pos="720" w:leader="none"/>
          <w:tab w:val="left" w:pos="1134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5387" w:leader="none"/>
        </w:tabs>
        <w:spacing w:lineRule="auto" w:line="240" w:before="0" w:after="0"/>
        <w:ind w:left="538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Times New Roman" w:cs="Arial" w:ascii="Arial" w:hAnsi="Arial"/>
          <w:b/>
          <w:i/>
          <w:lang w:eastAsia="pt-BR"/>
        </w:rPr>
        <w:t>Altera a NBC PG 12 (R3) – Educação Profissional Continuada.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851"/>
        <w:jc w:val="both"/>
        <w:outlineLvl w:val="0"/>
        <w:rPr>
          <w:rFonts w:ascii="Arial" w:hAnsi="Arial" w:eastAsia="Arial" w:cs="Arial"/>
          <w:b/>
          <w:b/>
          <w:bCs/>
          <w:color w:val="000000"/>
        </w:rPr>
      </w:pPr>
      <w:r>
        <w:rPr>
          <w:rFonts w:eastAsia="Times New Roman" w:cs="Arial" w:ascii="Arial" w:hAnsi="Arial"/>
          <w:lang w:eastAsia="pt-BR"/>
        </w:rPr>
        <w:t>O</w:t>
      </w:r>
      <w:r>
        <w:rPr>
          <w:rFonts w:eastAsia="Times New Roman" w:cs="Arial" w:ascii="Arial" w:hAnsi="Arial"/>
          <w:b/>
          <w:lang w:eastAsia="pt-BR"/>
        </w:rPr>
        <w:t xml:space="preserve"> CONSELHO FEDERAL DE CONTABILIDADE</w:t>
      </w:r>
      <w:r>
        <w:rPr>
          <w:rFonts w:eastAsia="Times New Roman" w:cs="Arial" w:ascii="Arial" w:hAnsi="Arial"/>
          <w:lang w:eastAsia="pt-BR"/>
        </w:rPr>
        <w:t>,</w:t>
      </w:r>
      <w:r>
        <w:rPr>
          <w:rFonts w:eastAsia="Times New Roman" w:cs="Arial" w:ascii="Arial" w:hAnsi="Arial"/>
          <w:b/>
          <w:lang w:eastAsia="pt-BR"/>
        </w:rPr>
        <w:t xml:space="preserve"> </w:t>
      </w:r>
      <w:r>
        <w:rPr>
          <w:rFonts w:eastAsia="Times New Roman" w:cs="Arial" w:ascii="Arial" w:hAnsi="Arial"/>
          <w:lang w:eastAsia="pt-BR"/>
        </w:rPr>
        <w:t>no exercício de suas atribuições legais e regimentais e com fundamento no disposto na alínea “f” do Art. 6º do Decreto-Lei n.º 9.295/1946, alterado pela Lei n.º 12.249/2010, faz saber que foi aprovada em seu Plenário a Revisão NBC que altera Norma Brasileira de Contabilidade (NBC):</w:t>
      </w:r>
    </w:p>
    <w:p>
      <w:pPr>
        <w:pStyle w:val="Normal"/>
        <w:tabs>
          <w:tab w:val="left" w:pos="-720" w:leader="none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bCs/>
          <w:color w:val="000000"/>
        </w:rPr>
      </w:pPr>
      <w:r>
        <w:rPr>
          <w:rFonts w:eastAsia="Arial"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Altera os itens 1, 4, 7, 10, 14 a 17, 23, 26, 27, 30, 31, 34, 36, 37, 40 e 43, inclui os itens 7A, 35A e 42A, exclui o item 9 e altera os Anexos I (itens 2, 2A, 5, 5A, 6, 9 e 13), II e III na NBC PG 12 (R3) – </w:t>
      </w:r>
      <w:r>
        <w:rPr>
          <w:rFonts w:eastAsia="Times New Roman" w:cs="Arial" w:ascii="Arial" w:hAnsi="Arial"/>
          <w:b/>
          <w:lang w:eastAsia="pt-BR"/>
        </w:rPr>
        <w:t>Educação Profissional Continuada</w:t>
      </w:r>
      <w:r>
        <w:rPr>
          <w:rFonts w:cs="Arial" w:ascii="Arial" w:hAnsi="Arial"/>
          <w:b/>
        </w:rPr>
        <w:t>, que passam a vigorar com as seguintes redações: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highlight w:val="yellow"/>
        </w:rPr>
        <w:t>O texto incluído está sublinhado e o excluído tachado.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  <w:bCs/>
        </w:rPr>
        <w:t xml:space="preserve">1. </w:t>
        <w:tab/>
        <w:t xml:space="preserve">A presente Norma tem por objetivo regulamentar o Programa de Educação Profissional Continuada (PEPC), </w:t>
      </w:r>
      <w:r>
        <w:rPr>
          <w:rFonts w:cs="Arial" w:ascii="Arial" w:hAnsi="Arial"/>
          <w:bCs/>
          <w:u w:val="single"/>
        </w:rPr>
        <w:t>instituído pela Lei n.° 12.249/2010 que alterou o Decreto-Lei n.° 9.295/1946,</w:t>
      </w:r>
      <w:r>
        <w:rPr>
          <w:rFonts w:cs="Arial" w:ascii="Arial" w:hAnsi="Arial"/>
          <w:bCs/>
        </w:rPr>
        <w:t xml:space="preserve"> para os profissionais da contabilidade; visa também definir as ações que o Conselho Federal de Contabilidade (CFC) e os Conselhos Regionais de Contabilidade (CRCs) devem desenvolver para viabilizar, controlar e fiscalizar o seu cumprimento.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aColoridanfase11"/>
        <w:spacing w:lineRule="auto" w:line="240" w:before="0" w:after="12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</w:t>
        <w:tab/>
        <w:t>A EPC é obrigatória para todos os profissionais da contabilidade que: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</w:rPr>
        <w:t xml:space="preserve">(a) </w:t>
        <w:tab/>
        <w:t xml:space="preserve">estejam inscritos no Cadastro Nacional de Auditores Independentes (CNAI) </w:t>
      </w:r>
      <w:r>
        <w:rPr>
          <w:rFonts w:cs="Arial" w:ascii="Arial" w:hAnsi="Arial"/>
          <w:u w:val="single"/>
        </w:rPr>
        <w:t>e/ou no Cadastro Nacional de Peritos Contábeis (CNPC), ambos do CFC</w:t>
      </w:r>
      <w:r>
        <w:rPr>
          <w:rFonts w:cs="Arial" w:ascii="Arial" w:hAnsi="Arial"/>
        </w:rPr>
        <w:t xml:space="preserve">, exercendo, ou não, as respectivas atividades; 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(b) </w:t>
        <w:tab/>
        <w:t xml:space="preserve">(...) 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</w:rPr>
        <w:t xml:space="preserve">(e) </w:t>
        <w:tab/>
        <w:t xml:space="preserve">exercem atividades de auditoria independente de entidades não mencionadas nas alíneas (b), (c) e (d), como sócio, responsável técnico ou em cargo de direção ou gerência técnica de firmas de auditoria e de organizações contábeis. Estão incluídas nessa obrigação as organizações contábeis que tenham </w:t>
      </w:r>
      <w:r>
        <w:rPr>
          <w:rFonts w:cs="Arial" w:ascii="Arial" w:hAnsi="Arial"/>
          <w:u w:val="single"/>
        </w:rPr>
        <w:t>explicitamente</w:t>
      </w:r>
      <w:r>
        <w:rPr>
          <w:rFonts w:cs="Arial" w:ascii="Arial" w:hAnsi="Arial"/>
        </w:rPr>
        <w:t xml:space="preserve"> em seu objeto social </w:t>
      </w:r>
      <w:r>
        <w:rPr>
          <w:rFonts w:cs="Arial" w:ascii="Arial" w:hAnsi="Arial"/>
          <w:u w:val="single"/>
        </w:rPr>
        <w:t>a previsão de</w:t>
      </w:r>
      <w:r>
        <w:rPr>
          <w:rFonts w:cs="Arial" w:ascii="Arial" w:hAnsi="Arial"/>
        </w:rPr>
        <w:t xml:space="preserve"> atividade de auditoria independente; </w:t>
      </w:r>
    </w:p>
    <w:p>
      <w:pPr>
        <w:pStyle w:val="Normal"/>
        <w:spacing w:lineRule="auto" w:line="240" w:before="0" w:after="120"/>
        <w:ind w:left="992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(f) </w:t>
        <w:tab/>
        <w:t>(...)</w:t>
      </w:r>
    </w:p>
    <w:p>
      <w:pPr>
        <w:pStyle w:val="Normal"/>
        <w:spacing w:lineRule="auto" w:line="240" w:before="0" w:after="0"/>
        <w:ind w:left="993" w:hanging="426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</w:rPr>
        <w:t xml:space="preserve">(g) </w:t>
        <w:tab/>
      </w:r>
      <w:r>
        <w:rPr>
          <w:rFonts w:cs="Arial" w:ascii="Arial" w:hAnsi="Arial"/>
          <w:strike/>
        </w:rPr>
        <w:t>estejam inscritos no Cadastro Nacional de Peritos Contábeis (CNPC).</w:t>
      </w:r>
      <w:r>
        <w:rPr>
          <w:rFonts w:cs="Arial" w:ascii="Arial" w:hAnsi="Arial"/>
        </w:rPr>
        <w:t xml:space="preserve"> (eliminada);</w:t>
      </w:r>
    </w:p>
    <w:p>
      <w:pPr>
        <w:pStyle w:val="Normal"/>
        <w:spacing w:lineRule="auto" w:line="240" w:before="0" w:after="0"/>
        <w:ind w:left="993" w:hanging="426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  <w:bCs/>
          <w:iCs/>
          <w:color w:val="0070C0"/>
        </w:rPr>
      </w:r>
    </w:p>
    <w:p>
      <w:pPr>
        <w:pStyle w:val="Normal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(h) </w:t>
        <w:tab/>
      </w:r>
      <w:r>
        <w:rPr>
          <w:rFonts w:cs="Arial" w:ascii="Arial" w:hAnsi="Arial"/>
          <w:u w:val="single"/>
        </w:rPr>
        <w:t>sejam responsáveis técnicos pelas demonstrações contábeis das sociedades e das entidades com ou sem fins lucrativos que tiverem, no exercício social anterior, receita total, igual ou superior a R$ 78 milhões e que não se enquadram na alínea “f”.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  <w:color w:val="000000"/>
        </w:rPr>
        <w:t xml:space="preserve">7.  </w:t>
        <w:tab/>
        <w:t xml:space="preserve">Os profissionais referidos no item 4 devem cumprir, </w:t>
      </w:r>
      <w:r>
        <w:rPr>
          <w:rFonts w:cs="Arial" w:ascii="Arial" w:hAnsi="Arial"/>
        </w:rPr>
        <w:t>no mínimo, 40 (quarenta)</w:t>
      </w:r>
      <w:r>
        <w:rPr>
          <w:rFonts w:cs="Arial" w:ascii="Arial" w:hAnsi="Arial"/>
          <w:color w:val="000000"/>
        </w:rPr>
        <w:t xml:space="preserve"> pontos de Educação Profissional Continuada por ano-calendário. </w:t>
      </w:r>
      <w:r>
        <w:rPr>
          <w:rFonts w:cs="Arial" w:ascii="Arial" w:hAnsi="Arial"/>
          <w:u w:val="single"/>
        </w:rPr>
        <w:t>Da pontuação anual exigida no item 7, no mínimo 8 (oito) pontos devem ser cumpridos com atividades de aquisição de conhecimento, constantes da Tabela I, do Anexo II.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  <w:bCs/>
          <w:iCs/>
          <w:color w:val="0070C0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7A. </w:t>
        <w:tab/>
      </w:r>
      <w:r>
        <w:rPr>
          <w:rFonts w:cs="Arial" w:ascii="Arial" w:hAnsi="Arial"/>
          <w:u w:val="single"/>
        </w:rPr>
        <w:t>Os profissionais obrigados ao cumprimento da educação continuada que se enquadrarem em mais de uma das alíneas do item 4 deverão cumprir a pontuação exigida para cada categoria/habilitação.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9.</w:t>
        <w:tab/>
      </w:r>
      <w:r>
        <w:rPr>
          <w:rFonts w:cs="Arial" w:ascii="Arial" w:hAnsi="Arial"/>
          <w:strike/>
        </w:rPr>
        <w:t>Da pontuação anual exigida no item 7, no mínimo 8 (oito) pontos devem ser cumpridos com atividades de aquisição de conhecimento, constantes da Tabela I, do Anexo II</w:t>
      </w:r>
      <w:r>
        <w:rPr>
          <w:rFonts w:cs="Arial" w:ascii="Arial" w:hAnsi="Arial"/>
        </w:rPr>
        <w:t>. Eliminado.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10.</w:t>
        <w:tab/>
      </w:r>
      <w:r>
        <w:rPr>
          <w:rFonts w:cs="Arial" w:ascii="Arial" w:hAnsi="Arial"/>
          <w:u w:val="single"/>
        </w:rPr>
        <w:t xml:space="preserve">Somente </w:t>
      </w:r>
      <w:r>
        <w:rPr>
          <w:rFonts w:cs="Arial" w:ascii="Arial" w:hAnsi="Arial"/>
        </w:rPr>
        <w:t xml:space="preserve">os contadores referidos no item 4, alíneas (a), (b), (c) e (d), aprovados em Exame de Qualificação Técnica específico, devem cumprir, dentro do total de pontos anuais, o mínimo exigido pelo órgão regulador respectivo.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14.</w:t>
        <w:tab/>
        <w:t xml:space="preserve">Para os devidos fins e comprovação das situações relacionadas nas alíneas (a), (b), (c) e (d) do item 13, os profissionais interessados devem apresentar ao CRC de sua jurisdição, até 31 de janeiro do exercício subsequente, juntamente com o relatório de atividades referido no item 17, todos os documentos de comprovação quanto ao eventual não cumprimento do programa de EPC, visando a sua análise pela CEPC </w:t>
      </w:r>
      <w:r>
        <w:rPr>
          <w:rFonts w:cs="Arial" w:ascii="Arial" w:hAnsi="Arial"/>
          <w:u w:val="single"/>
        </w:rPr>
        <w:t>ou Câmara de Desenvolvimento Profissional do CRC</w:t>
      </w:r>
      <w:r>
        <w:rPr>
          <w:rFonts w:cs="Arial" w:ascii="Arial" w:hAnsi="Arial"/>
        </w:rPr>
        <w:t>, para o acolhimento, ou não, das justificativas. Devem ainda atender a eventual solicitação de outros documentos e/ou esclarecimentos adicionais considerados necessários à comprovação dos fatos.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15.  </w:t>
        <w:tab/>
        <w:t xml:space="preserve">Cabe ao profissional a verificação prévia do devido credenciamento no PEPC da atividade (cursos, eventos) que pretende realizar, bem como dos pontos que serão atribuídos. Os cursos de pós-graduação oferecidos por IES registrada no MEC estão dispensados de credenciamento, </w:t>
      </w:r>
      <w:r>
        <w:rPr>
          <w:rFonts w:cs="Arial" w:ascii="Arial" w:hAnsi="Arial"/>
          <w:u w:val="single"/>
        </w:rPr>
        <w:t>cabendo ao profissional apresentar declaração da IES comprovando a conclusão e aprovação nas disciplinas cursadas por ano.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16.</w:t>
        <w:tab/>
        <w:t xml:space="preserve">Os profissionais referidos no item 4 são responsáveis pelo lançamento e acompanhamento, preferencialmente no sistema </w:t>
      </w:r>
      <w:r>
        <w:rPr>
          <w:rFonts w:cs="Arial" w:ascii="Arial" w:hAnsi="Arial"/>
          <w:i/>
        </w:rPr>
        <w:t>web</w:t>
      </w:r>
      <w:r>
        <w:rPr>
          <w:rFonts w:cs="Arial" w:ascii="Arial" w:hAnsi="Arial"/>
        </w:rPr>
        <w:t xml:space="preserve"> do CFC/CRCs, das informações relativas às atividades que necessitem de apreciação para atribuição de pontos, </w:t>
      </w:r>
      <w:r>
        <w:rPr>
          <w:rFonts w:cs="Arial" w:ascii="Arial" w:hAnsi="Arial"/>
          <w:u w:val="single"/>
        </w:rPr>
        <w:t>bem como das atividades realizadas e que sejam credenciadas por instituição capacitadora.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17.</w:t>
        <w:tab/>
        <w:t xml:space="preserve">O cumprimento da pontuação exigida nesta norma, pelos profissionais referidos no item 4, deve ser comprovado mediante a entrega do relatório de atividades a que se refere o Anexo III, no CRC de jurisdição do registro principal do profissional, </w:t>
      </w:r>
      <w:r>
        <w:rPr>
          <w:rFonts w:cs="Arial" w:ascii="Arial" w:hAnsi="Arial"/>
          <w:u w:val="single"/>
        </w:rPr>
        <w:t xml:space="preserve">por meio do sistema </w:t>
      </w:r>
      <w:r>
        <w:rPr>
          <w:rFonts w:cs="Arial" w:ascii="Arial" w:hAnsi="Arial"/>
          <w:i/>
          <w:u w:val="single"/>
        </w:rPr>
        <w:t>web</w:t>
      </w:r>
      <w:r>
        <w:rPr>
          <w:rFonts w:cs="Arial" w:ascii="Arial" w:hAnsi="Arial"/>
          <w:u w:val="single"/>
        </w:rPr>
        <w:t xml:space="preserve"> do CFC/CRCs. Na ausência deste a documentação poderá ser protocolada no CRC de jurisdição,</w:t>
      </w:r>
      <w:r>
        <w:rPr>
          <w:rFonts w:cs="Arial" w:ascii="Arial" w:hAnsi="Arial"/>
        </w:rPr>
        <w:t xml:space="preserve"> até o dia 31 de janeiro do ano subsequente ao ano-base, </w:t>
      </w:r>
      <w:r>
        <w:rPr>
          <w:rFonts w:cs="Arial" w:ascii="Arial" w:hAnsi="Arial"/>
          <w:strike/>
        </w:rPr>
        <w:t>por meio digital ou impresso,</w:t>
      </w:r>
      <w:r>
        <w:rPr>
          <w:rFonts w:cs="Arial" w:ascii="Arial" w:hAnsi="Arial"/>
        </w:rPr>
        <w:t xml:space="preserve"> acompanhado de cópia da documentação comprobatória das atividades, no que se refere ao disposto nas Tabelas I, II, III e IV do Anexo II desta norma, com exceção dos cursos e eventos credenciados.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23.</w:t>
        <w:tab/>
        <w:t xml:space="preserve">Integram a CEPC/CFC o vice-presidente de Desenvolvimento Profissional </w:t>
      </w:r>
      <w:r>
        <w:rPr>
          <w:rFonts w:cs="Arial" w:ascii="Arial" w:hAnsi="Arial"/>
          <w:strike/>
        </w:rPr>
        <w:t>e Institucional</w:t>
      </w:r>
      <w:r>
        <w:rPr>
          <w:rFonts w:cs="Arial" w:ascii="Arial" w:hAnsi="Arial"/>
        </w:rPr>
        <w:t xml:space="preserve"> do CFC, o diretor Nacional de Desenvolvimento Profissional do IBRACON, os contadores, vice-presidentes de Desenvolvimento Profissional dos cinco CRCs que reúnem o maior número de profissionais com registro ativo, os diretores de Desenvolvimento Profissional das cinco Seções Regionais do IBRACON que reúnem o maior número de profissionais associados ativos e 4 (quatro) membros contadores indicados pelo CFC, aprovados pelo Plenário do CFC, sob a coordenação do primeiro.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26.</w:t>
        <w:tab/>
        <w:t>A CEPC/CFC tem as seguintes atribuições: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>(a)</w:t>
        <w:tab/>
        <w:t>(...)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>(h)</w:t>
        <w:tab/>
        <w:t>julgar recursos</w:t>
      </w:r>
      <w:r>
        <w:rPr>
          <w:rFonts w:cs="Arial" w:ascii="Arial" w:hAnsi="Arial"/>
          <w:u w:val="single"/>
        </w:rPr>
        <w:t>, em segunda instância,</w:t>
      </w:r>
      <w:r>
        <w:rPr>
          <w:rFonts w:cs="Arial" w:ascii="Arial" w:hAnsi="Arial"/>
        </w:rPr>
        <w:t xml:space="preserve"> encaminhados pelos profissionais ou pelas capacitadoras relativos ao PEPC, cientificando o interessado sobre a decisão;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(i) </w:t>
        <w:tab/>
      </w:r>
      <w:r>
        <w:rPr>
          <w:rFonts w:cs="Arial" w:ascii="Arial" w:hAnsi="Arial"/>
          <w:u w:val="single"/>
        </w:rPr>
        <w:t>A CEPC/CFC poderá emitir esclarecimentos, por meio de ofício-circular, no âmbito desta norma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trike/>
        </w:rPr>
        <w:t>analisar e emitir opinião sobre os casos especiais ou omissos na presente Norma</w:t>
      </w:r>
      <w:r>
        <w:rPr>
          <w:rFonts w:cs="Arial" w:ascii="Arial" w:hAnsi="Arial"/>
        </w:rPr>
        <w:t>;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(j) (...)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  <w:bCs/>
          <w:iCs/>
          <w:color w:val="0070C0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27.</w:t>
        <w:tab/>
        <w:t xml:space="preserve">Os CRCs têm a responsabilidade de </w:t>
      </w:r>
      <w:r>
        <w:rPr>
          <w:rFonts w:cs="Arial" w:ascii="Arial" w:hAnsi="Arial"/>
          <w:u w:val="single"/>
        </w:rPr>
        <w:t>promover e</w:t>
      </w:r>
      <w:r>
        <w:rPr>
          <w:rFonts w:cs="Arial" w:ascii="Arial" w:hAnsi="Arial"/>
        </w:rPr>
        <w:t xml:space="preserve"> incentivar a implementação de atividades de capacitação que permitam o cumprimento desta Norma.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30.</w:t>
        <w:tab/>
        <w:t>A CEPC/CRC ou, na falta desta, a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CDP do CRC têm as seguintes atribuições em relação a esta norma: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  <w:color w:val="0070C0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(a) receber os pedidos de credenciamento das instituições a serem reconhecidas como capacitadoras, os pedidos de credenciamento de cursos, eventos ou outras atividades, bem como atribuir pontos para o PEPC, e emitir seu parecer, submetendo-o à apreciação da CEPC/CFC depois de aprovado pela CDP e homologado pelo Plenário do CRC. Os CRCs que possuírem representante na CEPC/CFC, bem como aqueles que possuírem </w:t>
      </w:r>
      <w:r>
        <w:rPr>
          <w:rFonts w:cs="Arial" w:ascii="Arial" w:hAnsi="Arial"/>
          <w:strike/>
        </w:rPr>
        <w:t>estrutura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u w:val="single"/>
        </w:rPr>
        <w:t>autonomia</w:t>
      </w:r>
      <w:r>
        <w:rPr>
          <w:rFonts w:cs="Arial" w:ascii="Arial" w:hAnsi="Arial"/>
        </w:rPr>
        <w:t xml:space="preserve"> para analisar os pedidos de credenciamento de cursos/eventos, de acordo com critérios definidos pela CEPC-CFC, ficam dispensados de submeter seus pareceres à apreciação da CEPC/CFC, exceto quanto aos pedidos de credenciamento de capacitadora, devendo ser observado o item 2A do Anexo I desta norma, e eventos tais como congressos e convenções nacionais e internacionais; 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>(b)</w:t>
        <w:tab/>
        <w:t>(...)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>(e)</w:t>
        <w:tab/>
      </w:r>
      <w:r>
        <w:rPr>
          <w:rFonts w:cs="Arial" w:ascii="Arial" w:hAnsi="Arial"/>
          <w:u w:val="single"/>
        </w:rPr>
        <w:t>monitorar a inclusão, no sistema web, ou a entrega presencial, quando for o caso, do relatório de atividades dos profissionais referidos no item 4</w:t>
      </w:r>
      <w:r>
        <w:rPr>
          <w:rFonts w:cs="Arial" w:ascii="Arial" w:hAnsi="Arial"/>
        </w:rPr>
        <w:t xml:space="preserve">; </w:t>
      </w:r>
      <w:r>
        <w:rPr>
          <w:rFonts w:cs="Arial" w:ascii="Arial" w:hAnsi="Arial"/>
          <w:strike/>
        </w:rPr>
        <w:t>receber de cada um dos profissionais referidos no item 4 o relatório anual sobre as atividades realizadas, acompanhado de cópia da documentação que as comprovem, quando for o caso;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>(f)</w:t>
        <w:tab/>
        <w:t xml:space="preserve">validar, no sistema </w:t>
      </w:r>
      <w:r>
        <w:rPr>
          <w:rFonts w:cs="Arial" w:ascii="Arial" w:hAnsi="Arial"/>
          <w:u w:val="single"/>
        </w:rPr>
        <w:t>web</w:t>
      </w:r>
      <w:r>
        <w:rPr>
          <w:rFonts w:cs="Arial" w:ascii="Arial" w:hAnsi="Arial"/>
        </w:rPr>
        <w:t xml:space="preserve"> de controle do PEPC, até o dia 28 de fevereiro do ano subsequente ao ano-base, as informações sobre as atividades de EPC das capacitadoras;  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>(g)</w:t>
        <w:tab/>
        <w:t xml:space="preserve">validar, no sistema </w:t>
      </w:r>
      <w:r>
        <w:rPr>
          <w:rFonts w:cs="Arial" w:ascii="Arial" w:hAnsi="Arial"/>
          <w:u w:val="single"/>
        </w:rPr>
        <w:t>web</w:t>
      </w:r>
      <w:r>
        <w:rPr>
          <w:rFonts w:cs="Arial" w:ascii="Arial" w:hAnsi="Arial"/>
        </w:rPr>
        <w:t xml:space="preserve"> de controle do PEPC, até 31 de março do ano subsequente ao ano-base, os dados constantes dos relatórios de atividades de que trata o Anexo III desta Norma;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>(h)</w:t>
        <w:tab/>
        <w:t xml:space="preserve">verificar, por meio </w:t>
      </w:r>
      <w:r>
        <w:rPr>
          <w:rFonts w:cs="Arial" w:ascii="Arial" w:hAnsi="Arial"/>
          <w:u w:val="single"/>
        </w:rPr>
        <w:t>da realização de ação</w:t>
      </w:r>
      <w:r>
        <w:rPr>
          <w:rFonts w:cs="Arial" w:ascii="Arial" w:hAnsi="Arial"/>
        </w:rPr>
        <w:t xml:space="preserve"> da fiscalização do CRC, a efetiva realização dos cursos e dos eventos na forma em que foram homologados;</w:t>
      </w:r>
    </w:p>
    <w:p>
      <w:pPr>
        <w:pStyle w:val="Normal"/>
        <w:spacing w:lineRule="auto" w:line="240" w:before="0" w:after="120"/>
        <w:ind w:left="992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(i)</w:t>
        <w:tab/>
        <w:t>(...)</w:t>
      </w:r>
    </w:p>
    <w:p>
      <w:pPr>
        <w:pStyle w:val="Normal"/>
        <w:spacing w:lineRule="auto" w:line="240" w:before="0" w:after="120"/>
        <w:ind w:left="992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(j)</w:t>
        <w:tab/>
        <w:t xml:space="preserve">descredenciar os cursos e eventos em que houver </w:t>
      </w:r>
      <w:r>
        <w:rPr>
          <w:rFonts w:cs="Arial" w:ascii="Arial" w:hAnsi="Arial"/>
          <w:strike/>
        </w:rPr>
        <w:t>sido</w:t>
      </w:r>
      <w:r>
        <w:rPr>
          <w:rFonts w:cs="Arial" w:ascii="Arial" w:hAnsi="Arial"/>
        </w:rPr>
        <w:t xml:space="preserve"> constatada a inobservância desta norma e assegurar à capacitadora o direito à ampla defesa e ao contraditório, obrigando-se a informar expressamente à CEPC/CFC. Da penalidade imposta pela CEPC/CRC, cabe recurso à CEPC/CFC, no prazo de 15 (quinze) dias contados da ciência da decisão;</w:t>
      </w:r>
    </w:p>
    <w:p>
      <w:pPr>
        <w:pStyle w:val="Normal"/>
        <w:spacing w:lineRule="auto" w:line="240" w:before="0" w:after="0"/>
        <w:ind w:left="993" w:hanging="426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 </w:t>
      </w:r>
      <w:r>
        <w:rPr>
          <w:rFonts w:cs="Arial" w:ascii="Arial" w:hAnsi="Arial"/>
          <w:u w:val="single"/>
        </w:rPr>
        <w:t>(k) julgar recursos em primeira instância encaminhados pelos profissionais ou pelas capacitadoras relativos ao PEPC, cientificando o interessado sobre a decisão.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31.</w:t>
        <w:tab/>
        <w:t>Até 30 de abril de cada ano, o CRC deve disponibilizar na internet e</w:t>
      </w:r>
      <w:r>
        <w:rPr>
          <w:rFonts w:cs="Arial" w:ascii="Arial" w:hAnsi="Arial"/>
          <w:u w:val="single"/>
        </w:rPr>
        <w:t>/ou por meio do sistema web</w:t>
      </w:r>
      <w:r>
        <w:rPr>
          <w:rFonts w:cs="Arial" w:ascii="Arial" w:hAnsi="Arial"/>
        </w:rPr>
        <w:t>, aos profissionais referidos no item 4, a certidão de cumprimento, ou não, da pontuação mínima estabelecida na presente Norma.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34.  </w:t>
        <w:tab/>
        <w:t>Podem ser capacitadoras: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</w:rPr>
        <w:t>(a)</w:t>
        <w:tab/>
        <w:t>(...)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(j) </w:t>
        <w:tab/>
        <w:t>Organizações Contábeis (</w:t>
      </w:r>
      <w:r>
        <w:rPr>
          <w:rFonts w:cs="Arial" w:ascii="Arial" w:hAnsi="Arial"/>
          <w:u w:val="single"/>
        </w:rPr>
        <w:t>escritórios contábeis e empresas de perícia contábil</w:t>
      </w:r>
      <w:r>
        <w:rPr>
          <w:rFonts w:cs="Arial" w:ascii="Arial" w:hAnsi="Arial"/>
        </w:rPr>
        <w:t>);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</w:rPr>
        <w:t xml:space="preserve">(k) </w:t>
        <w:tab/>
        <w:t>(...)</w:t>
      </w:r>
    </w:p>
    <w:p>
      <w:pPr>
        <w:pStyle w:val="Normal"/>
        <w:spacing w:lineRule="auto" w:line="240" w:before="0" w:after="0"/>
        <w:ind w:left="993" w:hanging="426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(o) </w:t>
        <w:tab/>
        <w:t>Entes da administração pública tais como Tribunais de Contas, Procuradorias, Secretaria do Tesouro dentre outros.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35A. </w:t>
        <w:tab/>
      </w:r>
      <w:r>
        <w:rPr>
          <w:rFonts w:cs="Arial" w:ascii="Arial" w:hAnsi="Arial"/>
          <w:u w:val="single"/>
        </w:rPr>
        <w:t>As capacitadoras credenciadas para fins desta norma estão sujeitas à fiscalização do Sistema CFC/CRCs e demais órgãos reguladores.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36.</w:t>
        <w:tab/>
        <w:t xml:space="preserve">Constituem-se eventos de EPC as atividades descritas nos itens seguintes, desde que aprovadas pela CEPC/CFC </w:t>
      </w:r>
      <w:r>
        <w:rPr>
          <w:rFonts w:cs="Arial" w:ascii="Arial" w:hAnsi="Arial"/>
          <w:u w:val="single"/>
        </w:rPr>
        <w:t>e CEPC/CRCs</w:t>
      </w:r>
      <w:r>
        <w:rPr>
          <w:rFonts w:cs="Arial" w:ascii="Arial" w:hAnsi="Arial"/>
        </w:rPr>
        <w:t xml:space="preserve">, nos termos desta Norma.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37.</w:t>
        <w:tab/>
        <w:t>Considera-se aquisição de conhecimento as atividades presenciais, a distância ou mistas, incluindo autoestudo, estudo dirigido, e-learning e equivalentes, sobre temas que contribuam para a melhoria da performance do profissional, com conteúdo de natureza técnica e profissional, relacionados ao PEPC, por meio de: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(a) </w:t>
        <w:tab/>
        <w:t>(...)</w:t>
      </w:r>
    </w:p>
    <w:p>
      <w:pPr>
        <w:pStyle w:val="Normal"/>
        <w:spacing w:lineRule="auto" w:line="240" w:before="0" w:after="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(e) </w:t>
        <w:tab/>
        <w:t>disciplinas cursadas em outras graduações em áreas correlatas ao curso de Ciências Contábeis, tais como: Administração, Ciências Atuariais, Ciências Econômicas</w:t>
      </w:r>
      <w:r>
        <w:rPr>
          <w:rFonts w:cs="Arial" w:ascii="Arial" w:hAnsi="Arial"/>
          <w:strike/>
        </w:rPr>
        <w:t>, Estatística, Tecnologia da Informação</w:t>
      </w:r>
      <w:r>
        <w:rPr>
          <w:rFonts w:cs="Arial" w:ascii="Arial" w:hAnsi="Arial"/>
        </w:rPr>
        <w:t xml:space="preserve"> e Direito.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40.</w:t>
        <w:tab/>
        <w:t>Produção intelectual de forma impressa ou eletrônica relacionada ao PEPC, por meio de: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(a) </w:t>
        <w:tab/>
        <w:t>(...)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(d) </w:t>
        <w:tab/>
        <w:t>teses</w:t>
      </w:r>
      <w:r>
        <w:rPr>
          <w:rFonts w:cs="Arial" w:ascii="Arial" w:hAnsi="Arial"/>
          <w:u w:val="single"/>
        </w:rPr>
        <w:t>, dissertações</w:t>
      </w:r>
      <w:r>
        <w:rPr>
          <w:rFonts w:cs="Arial" w:ascii="Arial" w:hAnsi="Arial"/>
        </w:rPr>
        <w:t xml:space="preserve"> ou monografias aprovadas, de conclusão de pós-graduação lato-sensu ou stricto sensu; e </w:t>
      </w:r>
    </w:p>
    <w:p>
      <w:pPr>
        <w:pStyle w:val="Normal"/>
        <w:spacing w:lineRule="auto" w:line="240" w:before="0" w:after="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(e) </w:t>
        <w:tab/>
        <w:t>(...)</w:t>
      </w:r>
    </w:p>
    <w:p>
      <w:pPr>
        <w:pStyle w:val="Normal"/>
        <w:spacing w:lineRule="auto" w:line="240" w:before="0" w:after="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 xml:space="preserve">42A. </w:t>
        <w:tab/>
      </w:r>
      <w:r>
        <w:rPr>
          <w:rFonts w:cs="Arial" w:ascii="Arial" w:hAnsi="Arial"/>
          <w:bCs/>
          <w:u w:val="single"/>
        </w:rPr>
        <w:t>A relação dos profissionais referidos no item 4 que não cumpriram a pontuação mínima exigida nos itens 7 e 9 será encaminhada à Vice-presidência de Fiscalização, Ética e Disciplina do CFC pela Vice-presidência de Desenvolvimento Profissional, para fins de orientação aos CRCs quanto a lavratura de auto de infração e abertura de processo ético disciplinar nos Conselhos Regionais de Contabilidade</w:t>
      </w:r>
      <w:r>
        <w:rPr>
          <w:rFonts w:cs="Arial" w:ascii="Arial" w:hAnsi="Arial"/>
          <w:bCs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43.</w:t>
        <w:tab/>
      </w:r>
      <w:r>
        <w:rPr>
          <w:rFonts w:eastAsia="Times New Roman" w:cs="Arial" w:ascii="Arial" w:hAnsi="Arial"/>
        </w:rPr>
        <w:t xml:space="preserve"> A </w:t>
      </w:r>
      <w:r>
        <w:rPr>
          <w:rFonts w:cs="Arial" w:ascii="Arial" w:hAnsi="Arial"/>
        </w:rPr>
        <w:t xml:space="preserve">não comprovação da pontuação mínima exigida anualmente nos termos desta norma pelos profissionais referidos no item 4, alínea (a), </w:t>
      </w:r>
      <w:r>
        <w:rPr>
          <w:rFonts w:cs="Arial" w:ascii="Arial" w:hAnsi="Arial"/>
          <w:u w:val="single"/>
        </w:rPr>
        <w:t>no que couber</w:t>
      </w:r>
      <w:r>
        <w:rPr>
          <w:rFonts w:cs="Arial" w:ascii="Arial" w:hAnsi="Arial"/>
        </w:rPr>
        <w:t xml:space="preserve">, acarreta a baixa do respectivo CNAI </w:t>
      </w:r>
      <w:r>
        <w:rPr>
          <w:rFonts w:cs="Arial" w:ascii="Arial" w:hAnsi="Arial"/>
          <w:u w:val="single"/>
        </w:rPr>
        <w:t>e CNPC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0"/>
        <w:ind w:firstLine="21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Essas alterações, inclusões e exclusões vão ser incorporadas na NBC PG 12 (R3) e entram em vigor na data de sua publicação, produzindo seus efeitos a partir de 1º de janeiro de 2019</w:t>
      </w:r>
      <w:r>
        <w:rPr>
          <w:rFonts w:eastAsia="Batang" w:cs="Arial" w:ascii="Arial" w:hAnsi="Arial"/>
          <w:lang w:eastAsia="ko-KR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Brasília, xx de novembro de 2018.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Contador Zulmir Ivânio Breda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Presidente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Ata CFC n.º xxxx.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ANEXO I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DIRETRIZES PARA CREDENCIAMENTO DE CAPACITADORAS, CREDENCIAMENTOS DE CURSOS/EVENTOS E DOCUMENTAÇÃO PARA CONTROLE E FISCALIZAÇÃO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Credenciamento da capacitadora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2.</w:t>
        <w:tab/>
        <w:t xml:space="preserve">O atendimento dos requisitos para o credenciamento da capacitadora e dos seus cursos deve ser analisado pela CEPC/CRC ou, na sua ausência, pela Câmara de Desenvolvimento Profissional, </w:t>
      </w:r>
      <w:r>
        <w:rPr>
          <w:rFonts w:cs="Arial" w:ascii="Arial" w:hAnsi="Arial"/>
          <w:u w:val="single"/>
        </w:rPr>
        <w:t>homologado pelo plenário do Conselho Regional de Contabilidade e</w:t>
      </w:r>
      <w:r>
        <w:rPr>
          <w:rFonts w:cs="Arial" w:ascii="Arial" w:hAnsi="Arial"/>
        </w:rPr>
        <w:t xml:space="preserve"> submetido à homologação da CEPC/CFC </w:t>
      </w:r>
      <w:r>
        <w:rPr>
          <w:rFonts w:cs="Arial" w:ascii="Arial" w:hAnsi="Arial"/>
          <w:u w:val="single"/>
        </w:rPr>
        <w:t>e homologação do Plenário do CFC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>2A.</w:t>
        <w:tab/>
      </w:r>
      <w:r>
        <w:rPr>
          <w:rFonts w:cs="Arial" w:ascii="Arial" w:hAnsi="Arial"/>
          <w:u w:val="single"/>
        </w:rPr>
        <w:t>Para fins de treinamento direcionado a público interno, as Organizações Contábeis e as áreas de treinamento das empresas de médio e grande porte, terão os seus pedidos de credenciamentos analisados pela CEPC-CRCs, conforme definido no item 30(a) desta norma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Arial" w:hAnsi="Arial" w:cs="Arial"/>
        </w:rPr>
      </w:pPr>
      <w:r>
        <w:rPr>
          <w:rFonts w:cs="Arial" w:ascii="Arial" w:hAnsi="Arial"/>
          <w:strike/>
        </w:rPr>
        <w:t>O atendimento dos requisitos para o credenciamento da capacitadora e dos seus cursos deve ser analisado pela CEPC/CRC ou, na sua ausência, pela Câmara de Desenvolvimento Profissional e submetido à homologação da CEPC/CFC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 </w:t>
        <w:tab/>
        <w:t xml:space="preserve">As entidades identificadas como capacitadoras, inscritas e homologadas no contexto do Programa de Educação Profissional Continuada, podem ser suspensas temporariamente ou descredenciadas do PEPC, pela CEPC/CRC, devendo </w:t>
      </w:r>
      <w:r>
        <w:rPr>
          <w:rFonts w:cs="Arial" w:ascii="Arial" w:hAnsi="Arial"/>
          <w:u w:val="single"/>
        </w:rPr>
        <w:t>comunicar expressamente</w:t>
      </w:r>
      <w:r>
        <w:rPr>
          <w:rFonts w:cs="Arial" w:ascii="Arial" w:hAnsi="Arial"/>
          <w:bCs/>
          <w:iCs/>
          <w:color w:val="0070C0"/>
        </w:rPr>
        <w:t xml:space="preserve"> </w:t>
      </w:r>
      <w:r>
        <w:rPr>
          <w:rFonts w:cs="Arial" w:ascii="Arial" w:hAnsi="Arial"/>
          <w:strike/>
        </w:rPr>
        <w:t>ser submetido</w:t>
      </w:r>
      <w:r>
        <w:rPr>
          <w:rFonts w:cs="Arial" w:ascii="Arial" w:hAnsi="Arial"/>
        </w:rPr>
        <w:t xml:space="preserve"> à CEPC/CFC </w:t>
      </w:r>
      <w:r>
        <w:rPr>
          <w:rFonts w:cs="Arial" w:ascii="Arial" w:hAnsi="Arial"/>
          <w:strike/>
        </w:rPr>
        <w:t>para homologação</w:t>
      </w:r>
      <w:r>
        <w:rPr>
          <w:rFonts w:cs="Arial" w:ascii="Arial" w:hAnsi="Arial"/>
        </w:rPr>
        <w:t xml:space="preserve">, se constatados um dos seguintes fatos ou ocorrências, isoladamente ou em conjunto, observado o disposto no item 30, alínea (i), desta norma: 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(a) não realizar </w:t>
      </w:r>
      <w:r>
        <w:rPr>
          <w:rFonts w:cs="Arial" w:ascii="Arial" w:hAnsi="Arial"/>
          <w:strike/>
        </w:rPr>
        <w:t>a cada 12 (doze) meses</w:t>
      </w:r>
      <w:r>
        <w:rPr>
          <w:rFonts w:cs="Arial" w:ascii="Arial" w:hAnsi="Arial"/>
        </w:rPr>
        <w:t xml:space="preserve"> no período de, pelo menos, </w:t>
      </w:r>
      <w:r>
        <w:rPr>
          <w:rFonts w:cs="Arial" w:ascii="Arial" w:hAnsi="Arial"/>
          <w:u w:val="single"/>
        </w:rPr>
        <w:t>12 meses</w:t>
      </w:r>
      <w:r>
        <w:rPr>
          <w:rFonts w:cs="Arial" w:ascii="Arial" w:hAnsi="Arial"/>
        </w:rPr>
        <w:t xml:space="preserve"> um curso homologado dentro do Programa;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(b) </w:t>
        <w:tab/>
        <w:t>deixar de cumprir as determinações relativas ao item 13 deste anexo, sobre documentação, controle e fiscalização;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(c) </w:t>
        <w:tab/>
      </w:r>
      <w:r>
        <w:rPr>
          <w:rFonts w:cs="Arial" w:ascii="Arial" w:hAnsi="Arial"/>
          <w:strike/>
        </w:rPr>
        <w:t xml:space="preserve">deixar de comunicar ao CRC o eventual cancelamento ou adiamento de evento/curso credenciado, no prazo de até 3 (três) dias úteis em relação ao início previsto; </w:t>
      </w:r>
      <w:r>
        <w:rPr>
          <w:rFonts w:cs="Arial" w:ascii="Arial" w:hAnsi="Arial"/>
        </w:rPr>
        <w:t>eliminada;</w:t>
      </w:r>
    </w:p>
    <w:p>
      <w:pPr>
        <w:pStyle w:val="Normal"/>
        <w:spacing w:lineRule="auto" w:line="240" w:before="0" w:after="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>(d)</w:t>
        <w:tab/>
      </w:r>
      <w:r>
        <w:rPr>
          <w:rFonts w:cs="Arial" w:ascii="Arial" w:hAnsi="Arial"/>
          <w:strike/>
        </w:rPr>
        <w:t>deixar de manter as condições aprovadas para o seu credenciamento, seus cursos e eventos.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Cs/>
          <w:iCs/>
        </w:rPr>
        <w:t>Eliminada.</w:t>
      </w:r>
    </w:p>
    <w:p>
      <w:pPr>
        <w:pStyle w:val="Normal"/>
        <w:spacing w:lineRule="auto" w:line="240" w:before="0" w:after="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bCs/>
        </w:rPr>
        <w:t xml:space="preserve">5A. </w:t>
        <w:tab/>
        <w:t xml:space="preserve">A suspensão temporária da capacitadora, prevista no item 5, é </w:t>
      </w:r>
      <w:r>
        <w:rPr>
          <w:rFonts w:cs="Arial" w:ascii="Arial" w:hAnsi="Arial"/>
          <w:strike/>
        </w:rPr>
        <w:t>pelo prazo de um ano, coincidente com o ano calendário, sempre seguinte ao ano da aplicação da penalidade, período no qual fica impedida de atuar no PEPC.</w:t>
      </w:r>
      <w:r>
        <w:rPr>
          <w:rFonts w:cs="Arial" w:ascii="Arial" w:hAnsi="Arial"/>
          <w:bCs/>
        </w:rPr>
        <w:t xml:space="preserve">de até um ano. O descredenciamento </w:t>
      </w:r>
      <w:r>
        <w:rPr>
          <w:rFonts w:cs="Arial" w:ascii="Arial" w:hAnsi="Arial"/>
          <w:bCs/>
          <w:strike/>
        </w:rPr>
        <w:t>será</w:t>
      </w:r>
      <w:r>
        <w:rPr>
          <w:rFonts w:cs="Arial" w:ascii="Arial" w:hAnsi="Arial"/>
          <w:bCs/>
          <w:u w:val="single"/>
        </w:rPr>
        <w:t xml:space="preserve">poderá ser </w:t>
      </w:r>
      <w:r>
        <w:rPr>
          <w:rFonts w:cs="Arial" w:ascii="Arial" w:hAnsi="Arial"/>
          <w:bCs/>
        </w:rPr>
        <w:t xml:space="preserve">definitivo quando houver reincidência </w:t>
      </w:r>
      <w:r>
        <w:rPr>
          <w:rFonts w:cs="Arial" w:ascii="Arial" w:hAnsi="Arial"/>
          <w:bCs/>
          <w:strike/>
        </w:rPr>
        <w:t>por mais de duas vezes</w:t>
      </w:r>
      <w:r>
        <w:rPr>
          <w:rFonts w:cs="Arial" w:ascii="Arial" w:hAnsi="Arial"/>
          <w:bCs/>
        </w:rPr>
        <w:t xml:space="preserve">, </w:t>
      </w:r>
      <w:r>
        <w:rPr>
          <w:rFonts w:cs="Arial" w:ascii="Arial" w:hAnsi="Arial"/>
          <w:bCs/>
          <w:u w:val="single"/>
        </w:rPr>
        <w:t>no período de 5 anos</w:t>
      </w:r>
      <w:r>
        <w:rPr>
          <w:rFonts w:cs="Arial" w:ascii="Arial" w:hAnsi="Arial"/>
          <w:bCs/>
        </w:rPr>
        <w:t xml:space="preserve"> na aplicação de penalidade de suspensão </w:t>
      </w:r>
      <w:r>
        <w:rPr>
          <w:rFonts w:cs="Arial" w:ascii="Arial" w:hAnsi="Arial"/>
          <w:bCs/>
          <w:u w:val="single"/>
        </w:rPr>
        <w:t>prevista no item 5(b).</w:t>
      </w:r>
    </w:p>
    <w:p>
      <w:pPr>
        <w:pStyle w:val="Normal"/>
        <w:spacing w:lineRule="auto" w:line="240" w:before="0" w:after="12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6. </w:t>
        <w:tab/>
      </w:r>
      <w:r>
        <w:rPr>
          <w:rFonts w:cs="Arial" w:ascii="Arial" w:hAnsi="Arial"/>
          <w:u w:val="single"/>
        </w:rPr>
        <w:t>As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trike/>
        </w:rPr>
        <w:t>Compete às</w:t>
      </w:r>
      <w:r>
        <w:rPr>
          <w:rFonts w:cs="Arial" w:ascii="Arial" w:hAnsi="Arial"/>
        </w:rPr>
        <w:t xml:space="preserve">capacitadoras </w:t>
      </w:r>
      <w:r>
        <w:rPr>
          <w:rFonts w:cs="Arial" w:ascii="Arial" w:hAnsi="Arial"/>
          <w:u w:val="single"/>
        </w:rPr>
        <w:t>devem</w:t>
      </w:r>
      <w:r>
        <w:rPr>
          <w:rFonts w:cs="Arial" w:ascii="Arial" w:hAnsi="Arial"/>
        </w:rPr>
        <w:t>: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(a) </w:t>
        <w:tab/>
        <w:t xml:space="preserve">preencher requerimento de credenciamento </w:t>
      </w:r>
      <w:r>
        <w:rPr>
          <w:rFonts w:cs="Arial" w:ascii="Arial" w:hAnsi="Arial"/>
          <w:strike/>
        </w:rPr>
        <w:t>(disponível nos Portais dos CRCs) como capacitador</w:t>
      </w:r>
      <w:r>
        <w:rPr>
          <w:rFonts w:cs="Arial" w:ascii="Arial" w:hAnsi="Arial"/>
        </w:rPr>
        <w:t>a a ser assinado por seu representante legal;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(b)</w:t>
        <w:tab/>
        <w:t>anexar cópia autenticada dos seus atos constitutivos, ou últimos instrumentos consolidados e alterações posteriores, em que conste no objeto social a prerrogativa de treinamento e/ou capacitação;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(ba) as </w:t>
      </w:r>
      <w:r>
        <w:rPr>
          <w:rFonts w:cs="Arial" w:ascii="Arial" w:hAnsi="Arial"/>
          <w:u w:val="single"/>
        </w:rPr>
        <w:t>organizações contábeis</w:t>
      </w:r>
      <w:r>
        <w:rPr>
          <w:rFonts w:cs="Arial" w:ascii="Arial" w:hAnsi="Arial"/>
        </w:rPr>
        <w:t xml:space="preserve"> (firmas de auditoria, </w:t>
      </w:r>
      <w:r>
        <w:rPr>
          <w:rFonts w:cs="Arial" w:ascii="Arial" w:hAnsi="Arial"/>
          <w:u w:val="single"/>
        </w:rPr>
        <w:t>empresas de contabilidade e empresas de perícia contábil</w:t>
      </w:r>
      <w:r>
        <w:rPr>
          <w:rFonts w:cs="Arial" w:ascii="Arial" w:hAnsi="Arial"/>
        </w:rPr>
        <w:t xml:space="preserve">) ficam dispensadas </w:t>
      </w:r>
      <w:r>
        <w:rPr>
          <w:rFonts w:cs="Arial" w:ascii="Arial" w:hAnsi="Arial"/>
          <w:strike/>
        </w:rPr>
        <w:t>dessa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trike/>
        </w:rPr>
        <w:t xml:space="preserve">exigência relativa à inclusão da atividade de treinamento no objeto social, se não estiver oferecendo </w:t>
      </w:r>
      <w:r>
        <w:rPr>
          <w:rFonts w:cs="Arial" w:ascii="Arial" w:hAnsi="Arial"/>
          <w:u w:val="single"/>
        </w:rPr>
        <w:t>das exigências relativas aos itens 6(b) e (c), se não oferecerem</w:t>
      </w:r>
      <w:r>
        <w:rPr>
          <w:rFonts w:cs="Arial" w:ascii="Arial" w:hAnsi="Arial"/>
        </w:rPr>
        <w:t xml:space="preserve"> cursos voltados ao público externo; 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(bb) as empresas de </w:t>
      </w:r>
      <w:r>
        <w:rPr>
          <w:rFonts w:cs="Arial" w:ascii="Arial" w:hAnsi="Arial"/>
          <w:u w:val="single"/>
        </w:rPr>
        <w:t xml:space="preserve">médio </w:t>
      </w:r>
      <w:r>
        <w:rPr>
          <w:rFonts w:cs="Arial" w:ascii="Arial" w:hAnsi="Arial"/>
        </w:rPr>
        <w:t>e grande porte, referidas no item 4, alínea</w:t>
      </w:r>
      <w:r>
        <w:rPr>
          <w:rFonts w:cs="Arial" w:ascii="Arial" w:hAnsi="Arial"/>
          <w:u w:val="single"/>
        </w:rPr>
        <w:t>s</w:t>
      </w:r>
      <w:r>
        <w:rPr>
          <w:rFonts w:cs="Arial" w:ascii="Arial" w:hAnsi="Arial"/>
        </w:rPr>
        <w:t xml:space="preserve"> (f </w:t>
      </w:r>
      <w:r>
        <w:rPr>
          <w:rFonts w:cs="Arial" w:ascii="Arial" w:hAnsi="Arial"/>
          <w:u w:val="single"/>
        </w:rPr>
        <w:t>e h</w:t>
      </w:r>
      <w:r>
        <w:rPr>
          <w:rFonts w:cs="Arial" w:ascii="Arial" w:hAnsi="Arial"/>
        </w:rPr>
        <w:t xml:space="preserve">), desta norma, que possuam estruturas departamentais dedicadas ao desenvolvimento e treinamento ficam dispensadas da exigência relativa à inclusão dessa atividade nos seus estatutos societários, desde que ofereçam cursos voltados ao público interno. Nesse caso, devem apresentar declaração assinada pelos seus representantes legais informando que a empresa desenvolve internamente um programa estruturado e específico de desenvolvimento profissional para os seus colaboradores, apontando o responsável que deve representar a empresa (ou o grupo empresarial) no Sistema CFC/CRCs; 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(c)</w:t>
        <w:tab/>
        <w:t>anexar histórico da instituição, especificando:</w:t>
      </w:r>
    </w:p>
    <w:p>
      <w:pPr>
        <w:pStyle w:val="Normal"/>
        <w:spacing w:lineRule="auto" w:line="240" w:before="0" w:after="120"/>
        <w:ind w:left="1418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(i) </w:t>
        <w:tab/>
        <w:t>sua experiência e/ou dos instrutores em capacitação;</w:t>
      </w:r>
    </w:p>
    <w:p>
      <w:pPr>
        <w:pStyle w:val="Normal"/>
        <w:spacing w:lineRule="auto" w:line="240" w:before="0" w:after="120"/>
        <w:ind w:left="1418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(ii) </w:t>
        <w:tab/>
        <w:t xml:space="preserve">público-alvo dos cursos. 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</w:rPr>
        <w:t>(d)</w:t>
        <w:tab/>
        <w:t xml:space="preserve">inserir no sistema </w:t>
      </w:r>
      <w:r>
        <w:rPr>
          <w:rFonts w:cs="Arial" w:ascii="Arial" w:hAnsi="Arial"/>
          <w:i/>
        </w:rPr>
        <w:t>web</w:t>
      </w:r>
      <w:r>
        <w:rPr>
          <w:rFonts w:cs="Arial" w:ascii="Arial" w:hAnsi="Arial"/>
        </w:rPr>
        <w:t xml:space="preserve">, com antecedência mínima de 60 (sessenta) dias da data de sua realização, dados dos cursos/eventos a serem credenciados e/ou revalidados, como: título do curso (quando em idioma estrangeiro constar também em português); tipo de curso; área temática; carga horária; conteúdo programático; bibliografia mínima atualizada; frequência mínima; cronograma de realização; critério de avaliação; modalidade; abrangência; público-alvo; nome e currículo dos professores; sem prejuízo de outras informações que possam ser solicitadas a critério da CEPC, dos CRCs e do CFC. </w:t>
      </w:r>
      <w:r>
        <w:rPr>
          <w:rFonts w:cs="Arial" w:ascii="Arial" w:hAnsi="Arial"/>
          <w:lang w:eastAsia="zh-CN"/>
        </w:rPr>
        <w:t>Nos casos em que o prazo acima não puder ser cumprido, a capacitadora deve comunicar ao CRC, com no mínimo 5 (cinco) dias úteis de antecedência ao evento, a data de sua realização. Nesse caso, a capacitadora tem até 15 (quinze) dias úteis, contados da data do comunicado, para cumprir as exigências para o pedido de credenciamento do curso/evento;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(e) </w:t>
        <w:tab/>
      </w:r>
      <w:r>
        <w:rPr>
          <w:rFonts w:cs="Arial" w:ascii="Arial" w:hAnsi="Arial"/>
          <w:lang w:eastAsia="zh-CN"/>
        </w:rPr>
        <w:t xml:space="preserve">informar, obrigatoriamente, ao CRC respectivo a data de realização de cada uma das edições, com, no mínimo, 5 (cinco) dias úteis de antecedência, no caso de cursos aprovados para realização de mais de uma edição dentro do prazo de sua validade; 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  <w:strike/>
          <w:lang w:eastAsia="zh-CN"/>
        </w:rPr>
      </w:pPr>
      <w:r>
        <w:rPr>
          <w:rFonts w:cs="Arial" w:ascii="Arial" w:hAnsi="Arial"/>
          <w:lang w:eastAsia="zh-CN"/>
        </w:rPr>
        <w:t xml:space="preserve">(f) </w:t>
        <w:tab/>
      </w:r>
      <w:r>
        <w:rPr>
          <w:rFonts w:cs="Arial" w:ascii="Arial" w:hAnsi="Arial"/>
          <w:bCs/>
          <w:iCs/>
        </w:rPr>
        <w:t>(Eliminada)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(g)</w:t>
        <w:tab/>
        <w:t xml:space="preserve">enviar à CEPC/CRC seus planos de ação e datas para correção de eventuais discrepâncias verificadas em ação fiscalizatória no prazo estabelecido; 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  <w:lang w:eastAsia="zh-CN"/>
        </w:rPr>
        <w:t>(h)</w:t>
        <w:tab/>
        <w:t>somente comunicar aos participantes a pontuação do curso ou evento quando o processo de homologação estiver concluído e a pontuação validada;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  <w:u w:val="single"/>
          <w:lang w:eastAsia="zh-CN"/>
        </w:rPr>
      </w:pPr>
      <w:r>
        <w:rPr>
          <w:rFonts w:cs="Arial" w:ascii="Arial" w:hAnsi="Arial"/>
          <w:u w:val="single"/>
          <w:lang w:eastAsia="zh-CN"/>
        </w:rPr>
        <w:t xml:space="preserve">(ha)   divulgar a pontuação homologada pelo CFC/CRCs que deve ser realizada de forma a destacar a pontuação atribuída a cada área de atuação sujeita a educação profissional continuada; 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993" w:hanging="426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</w:rPr>
        <w:t xml:space="preserve">lançar em até 30 (trinta) dias após a data de realização do curso/evento, limitado até 15 de janeiro do ano seguinte, preferencialmente por meio do sistema </w:t>
      </w:r>
      <w:r>
        <w:rPr>
          <w:rFonts w:cs="Arial" w:ascii="Arial" w:hAnsi="Arial"/>
          <w:i/>
        </w:rPr>
        <w:t>web</w:t>
      </w:r>
      <w:r>
        <w:rPr>
          <w:rFonts w:cs="Arial" w:ascii="Arial" w:hAnsi="Arial"/>
        </w:rPr>
        <w:t>, informações dos professores e dos participantes que se certificaram em curso/evento.</w:t>
      </w:r>
    </w:p>
    <w:p>
      <w:pPr>
        <w:pStyle w:val="ListParagraph"/>
        <w:spacing w:lineRule="auto" w:line="240" w:before="0" w:after="0"/>
        <w:ind w:left="1287" w:hanging="0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  <w:bCs/>
          <w:iCs/>
          <w:color w:val="0070C0"/>
        </w:rPr>
      </w:r>
    </w:p>
    <w:p>
      <w:pPr>
        <w:pStyle w:val="Normal"/>
        <w:spacing w:lineRule="auto" w:line="240" w:before="0" w:after="120"/>
        <w:ind w:left="567" w:hanging="567"/>
        <w:jc w:val="both"/>
        <w:rPr>
          <w:rFonts w:ascii="Arial" w:hAnsi="Arial" w:cs="Arial"/>
          <w:highlight w:val="green"/>
        </w:rPr>
      </w:pPr>
      <w:r>
        <w:rPr>
          <w:rFonts w:cs="Arial" w:ascii="Arial" w:hAnsi="Arial"/>
        </w:rPr>
        <w:t>9.</w:t>
        <w:tab/>
        <w:t xml:space="preserve">Para credenciamento dos cursos ou eventos realizados na modalidade a distância </w:t>
      </w:r>
      <w:r>
        <w:rPr>
          <w:rFonts w:cs="Arial" w:ascii="Arial" w:hAnsi="Arial"/>
          <w:u w:val="single"/>
        </w:rPr>
        <w:t>ou mista</w:t>
      </w:r>
      <w:r>
        <w:rPr>
          <w:rFonts w:cs="Arial" w:ascii="Arial" w:hAnsi="Arial"/>
        </w:rPr>
        <w:t xml:space="preserve">, são exigidas as seguintes características mínimas. </w:t>
      </w:r>
      <w:r>
        <w:rPr>
          <w:rFonts w:cs="Arial" w:ascii="Arial" w:hAnsi="Arial"/>
          <w:u w:val="single"/>
        </w:rPr>
        <w:t>Considera-se aquisição de conhecimento as atividades presenciais, a distância ou mistas, incluindo autoestudo, estudo dirigido, e-learning e equivalentes, sobre temas que contribuam para a melhoria da performance do profissional, com conteúdo de natureza técnica e profissional, relacionados ao PEPC</w:t>
      </w:r>
      <w:r>
        <w:rPr>
          <w:rFonts w:cs="Arial" w:ascii="Arial" w:hAnsi="Arial"/>
        </w:rPr>
        <w:t>: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(a)</w:t>
        <w:tab/>
        <w:t>especificação da forma de funcionamento;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(b)</w:t>
        <w:tab/>
        <w:t>especificação dos recursos que serão utilizados (exemplo: existência de fórum, tutoria para esclarecimento de dúvidas, metodologia, entre outros);</w:t>
      </w:r>
    </w:p>
    <w:p>
      <w:pPr>
        <w:pStyle w:val="Normal"/>
        <w:spacing w:lineRule="auto" w:line="240" w:before="0" w:after="0"/>
        <w:ind w:left="993" w:hanging="426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(c)</w:t>
        <w:tab/>
        <w:t>comprovação de aquisição de conhecimentos.</w:t>
      </w:r>
    </w:p>
    <w:p>
      <w:pPr>
        <w:pStyle w:val="Normal"/>
        <w:spacing w:lineRule="auto" w:line="240" w:before="0" w:after="0"/>
        <w:ind w:left="993" w:hanging="426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Normal"/>
        <w:spacing w:lineRule="auto" w:line="240" w:before="0" w:after="120"/>
        <w:ind w:left="567" w:hanging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13. </w:t>
        <w:tab/>
        <w:t>Para os cursos e, no que couber, para os eventos, a capacitadora deve manter em arquivo, pelo prazo mínimo de 5 (cinco) anos, os seguintes documentos: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(a) </w:t>
        <w:tab/>
        <w:t>processo de credenciamento e realização da atividade. Documentação da apresentação do tema, programa, metodologia, recursos de apoio, bibliografia e currículo do(s) instrutor(es), em conformidade com o que foi aprovado pela CEPC/CFC;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  <w:bCs/>
          <w:iCs/>
          <w:color w:val="0070C0"/>
        </w:rPr>
      </w:pPr>
      <w:r>
        <w:rPr>
          <w:rFonts w:cs="Arial" w:ascii="Arial" w:hAnsi="Arial"/>
        </w:rPr>
        <w:t>(b) listas de presença assinada pelos participantes;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  <w:strike/>
        </w:rPr>
        <w:t>(c)</w:t>
        <w:tab/>
        <w:t>formulários de avaliação preenchidos pelos participantes;</w:t>
      </w:r>
      <w:r>
        <w:rPr>
          <w:rFonts w:cs="Arial" w:ascii="Arial" w:hAnsi="Arial"/>
        </w:rPr>
        <w:t xml:space="preserve"> eliminada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(d)</w:t>
        <w:tab/>
        <w:t xml:space="preserve">nos casos de ensino a distância </w:t>
      </w:r>
      <w:r>
        <w:rPr>
          <w:rFonts w:cs="Arial" w:ascii="Arial" w:hAnsi="Arial"/>
          <w:u w:val="single"/>
        </w:rPr>
        <w:t>ou misto</w:t>
      </w:r>
      <w:r>
        <w:rPr>
          <w:rFonts w:cs="Arial" w:ascii="Arial" w:hAnsi="Arial"/>
        </w:rPr>
        <w:t xml:space="preserve"> e autoestudo, devem ser observados os procedimentos desta norma e mantidos os seguintes documentos:</w:t>
      </w:r>
    </w:p>
    <w:p>
      <w:pPr>
        <w:pStyle w:val="Normal"/>
        <w:spacing w:lineRule="auto" w:line="240" w:before="0" w:after="120"/>
        <w:ind w:left="1418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  <w:t>(i)</w:t>
        <w:tab/>
        <w:t>manter em arquivo a norma escrita dos procedimentos de cadastramento do participante, controle de inscrição, emissão de senha de acesso e controle eletrônico de entrada e saída do sistema (“logs”);</w:t>
      </w:r>
    </w:p>
    <w:p>
      <w:pPr>
        <w:pStyle w:val="Normal"/>
        <w:spacing w:lineRule="auto" w:line="240" w:before="0" w:after="120"/>
        <w:ind w:left="993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(ii)</w:t>
        <w:tab/>
        <w:t>nas normas escritas, devem ser tratados assuntos como:</w:t>
      </w:r>
    </w:p>
    <w:p>
      <w:pPr>
        <w:pStyle w:val="Normal"/>
        <w:numPr>
          <w:ilvl w:val="0"/>
          <w:numId w:val="3"/>
        </w:numPr>
        <w:spacing w:lineRule="auto" w:line="240"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forma de funcionamento;</w:t>
      </w:r>
    </w:p>
    <w:p>
      <w:pPr>
        <w:pStyle w:val="Normal"/>
        <w:numPr>
          <w:ilvl w:val="0"/>
          <w:numId w:val="3"/>
        </w:numPr>
        <w:spacing w:lineRule="auto" w:line="240"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recursos utilizados (exemplo: existência de fóruns, tutoria para esclarecimento de dúvidas, metodologia, entre outros);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786" w:hanging="357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comprovação de aquisição de conhecimento. Manter em arquivo o(s) comprovante(s) (“logs”) de acesso do participante ou qualquer outro documento que certifique à capacitadora que o participante esteve “conectado” durante as etapas necessárias.</w:t>
      </w:r>
    </w:p>
    <w:p>
      <w:pPr>
        <w:pStyle w:val="Corpodetexto"/>
        <w:numPr>
          <w:ilvl w:val="0"/>
          <w:numId w:val="0"/>
        </w:numPr>
        <w:tabs>
          <w:tab w:val="left" w:pos="0" w:leader="none"/>
          <w:tab w:val="left" w:pos="2461" w:leader="none"/>
        </w:tabs>
        <w:spacing w:before="0" w:after="0"/>
        <w:outlineLvl w:val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Corpodetexto"/>
        <w:numPr>
          <w:ilvl w:val="0"/>
          <w:numId w:val="0"/>
        </w:numPr>
        <w:ind w:left="567" w:hanging="567"/>
        <w:jc w:val="center"/>
        <w:outlineLvl w:val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Corpodetexto"/>
        <w:numPr>
          <w:ilvl w:val="0"/>
          <w:numId w:val="0"/>
        </w:numPr>
        <w:ind w:left="567" w:hanging="567"/>
        <w:jc w:val="center"/>
        <w:outlineLvl w:val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Corpodetexto"/>
        <w:numPr>
          <w:ilvl w:val="0"/>
          <w:numId w:val="0"/>
        </w:numPr>
        <w:ind w:left="567" w:hanging="567"/>
        <w:jc w:val="center"/>
        <w:outlineLvl w:val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ANEXO II</w:t>
      </w:r>
    </w:p>
    <w:p>
      <w:pPr>
        <w:pStyle w:val="Corpodetexto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TABELAS DE PONTUAÇÃO</w:t>
      </w:r>
    </w:p>
    <w:p>
      <w:pPr>
        <w:pStyle w:val="Corpodetexto"/>
        <w:spacing w:lineRule="auto" w:line="36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tbl>
      <w:tblPr>
        <w:tblW w:w="942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45"/>
        <w:gridCol w:w="3401"/>
        <w:gridCol w:w="1559"/>
        <w:gridCol w:w="2017"/>
      </w:tblGrid>
      <w:tr>
        <w:trPr>
          <w:trHeight w:val="925" w:hRule="atLeast"/>
        </w:trPr>
        <w:tc>
          <w:tcPr>
            <w:tcW w:w="94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Tabela I – Aquisição de conhecimento </w:t>
            </w:r>
          </w:p>
          <w:p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(observar a determinação contida no item 9 desta norma)</w:t>
            </w:r>
          </w:p>
        </w:tc>
      </w:tr>
      <w:tr>
        <w:trPr>
          <w:trHeight w:val="235" w:hRule="atLeast"/>
          <w:cantSplit w:val="true"/>
        </w:trPr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Endnotetext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Natureza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Endnotetext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Características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Endnotetext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Requisitos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Endnotetext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Atribuição de pontos</w:t>
            </w:r>
          </w:p>
        </w:tc>
      </w:tr>
      <w:tr>
        <w:trPr>
          <w:trHeight w:val="1385" w:hRule="atLeast"/>
          <w:cantSplit w:val="true"/>
        </w:trPr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Cursos e treinamentos internos e reuniões técnicas internas das </w:t>
            </w:r>
            <w:r>
              <w:rPr>
                <w:rFonts w:cs="Arial" w:ascii="Arial" w:hAnsi="Arial"/>
                <w:u w:val="single"/>
              </w:rPr>
              <w:t xml:space="preserve">organizações contábeis (firmas de auditoria independente, escritórios contábeis e empresas de perícia contábil) </w:t>
            </w:r>
            <w:r>
              <w:rPr>
                <w:rFonts w:cs="Arial" w:ascii="Arial" w:hAnsi="Arial"/>
                <w:strike/>
              </w:rPr>
              <w:t>firmas de auditoria</w:t>
            </w:r>
            <w:r>
              <w:rPr>
                <w:rFonts w:cs="Arial" w:ascii="Arial" w:hAnsi="Arial"/>
              </w:rPr>
              <w:t xml:space="preserve"> credenciadas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Cursos que contribuam para a melhoria da </w:t>
            </w:r>
            <w:r>
              <w:rPr>
                <w:rFonts w:cs="Arial" w:ascii="Arial" w:hAnsi="Arial"/>
                <w:i/>
              </w:rPr>
              <w:t>performance</w:t>
            </w:r>
            <w:r>
              <w:rPr>
                <w:rFonts w:cs="Arial" w:ascii="Arial" w:hAnsi="Arial"/>
              </w:rPr>
              <w:t>, com conteúdo de natureza técnica e profissional, relacionados ao PEPC.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Endnote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Cursos presenciais, a distância </w:t>
            </w:r>
            <w:r>
              <w:rPr>
                <w:rFonts w:cs="Arial" w:ascii="Arial" w:hAnsi="Arial"/>
                <w:sz w:val="22"/>
                <w:szCs w:val="22"/>
                <w:u w:val="single"/>
              </w:rPr>
              <w:t>ou mista.</w:t>
            </w: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(um) ponto por hora.</w:t>
            </w:r>
          </w:p>
        </w:tc>
      </w:tr>
      <w:tr>
        <w:trPr>
          <w:trHeight w:val="1385" w:hRule="atLeast"/>
          <w:cantSplit w:val="true"/>
        </w:trPr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Demais cursos e palestras credenciadas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Temas que contribuam para a melhoria da </w:t>
            </w:r>
            <w:r>
              <w:rPr>
                <w:rFonts w:cs="Arial" w:ascii="Arial" w:hAnsi="Arial"/>
                <w:i/>
              </w:rPr>
              <w:t>performance</w:t>
            </w:r>
            <w:r>
              <w:rPr>
                <w:rFonts w:cs="Arial" w:ascii="Arial" w:hAnsi="Arial"/>
              </w:rPr>
              <w:t xml:space="preserve"> do profissional, com conteúdo de natureza técnica e profissional, relacionados ao PEPC.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Endnote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Cursos e palestras presenciais, a distância </w:t>
            </w:r>
            <w:r>
              <w:rPr>
                <w:rFonts w:cs="Arial" w:ascii="Arial" w:hAnsi="Arial"/>
                <w:sz w:val="22"/>
                <w:szCs w:val="22"/>
                <w:u w:val="single"/>
              </w:rPr>
              <w:t>ou mista.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1 (um) ponto por hora.</w:t>
            </w:r>
          </w:p>
        </w:tc>
      </w:tr>
      <w:tr>
        <w:trPr>
          <w:trHeight w:val="1385" w:hRule="atLeast"/>
          <w:cantSplit w:val="true"/>
        </w:trPr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Cursos de </w:t>
            </w:r>
            <w:r>
              <w:rPr>
                <w:rFonts w:cs="Arial" w:ascii="Arial" w:hAnsi="Arial"/>
                <w:u w:val="single"/>
              </w:rPr>
              <w:t>graduação e</w:t>
            </w:r>
            <w:r>
              <w:rPr>
                <w:rFonts w:cs="Arial" w:ascii="Arial" w:hAnsi="Arial"/>
              </w:rPr>
              <w:t xml:space="preserve"> pós-graduação (</w:t>
            </w:r>
            <w:r>
              <w:rPr>
                <w:rFonts w:cs="Arial" w:ascii="Arial" w:hAnsi="Arial"/>
                <w:i/>
                <w:iCs/>
              </w:rPr>
              <w:t xml:space="preserve">lato sensu </w:t>
            </w:r>
            <w:r>
              <w:rPr>
                <w:rFonts w:cs="Arial" w:ascii="Arial" w:hAnsi="Arial"/>
                <w:iCs/>
              </w:rPr>
              <w:t>e</w:t>
            </w:r>
            <w:r>
              <w:rPr>
                <w:rFonts w:cs="Arial" w:ascii="Arial" w:hAnsi="Arial"/>
                <w:i/>
                <w:iCs/>
              </w:rPr>
              <w:t xml:space="preserve"> stricto sensu)</w:t>
            </w:r>
            <w:r>
              <w:rPr>
                <w:rFonts w:cs="Arial" w:ascii="Arial" w:hAnsi="Arial"/>
                <w:iCs/>
              </w:rPr>
              <w:t xml:space="preserve"> oferecidos por IES, reconhecidos no MEC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72" w:hanging="0"/>
              <w:jc w:val="both"/>
              <w:rPr>
                <w:rFonts w:ascii="Arial" w:hAnsi="Arial" w:cs="Arial"/>
                <w:i/>
                <w:i/>
                <w:strike/>
              </w:rPr>
            </w:pPr>
            <w:r>
              <w:rPr>
                <w:rFonts w:cs="Arial" w:ascii="Arial" w:hAnsi="Arial"/>
              </w:rPr>
              <w:t xml:space="preserve">Disciplinas que contribuam para a melhoria da </w:t>
            </w:r>
            <w:r>
              <w:rPr>
                <w:rFonts w:cs="Arial" w:ascii="Arial" w:hAnsi="Arial"/>
                <w:i/>
              </w:rPr>
              <w:t>performance</w:t>
            </w:r>
            <w:r>
              <w:rPr>
                <w:rFonts w:cs="Arial" w:ascii="Arial" w:hAnsi="Arial"/>
              </w:rPr>
              <w:t xml:space="preserve"> do profissional, com conteúdo de natureza técnica e profissional, relacionadas ao PEPC.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Endnotetext"/>
              <w:spacing w:lineRule="auto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Mínimo de 360 (trezentos e sessenta) horas-aula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u w:val="single"/>
              </w:rPr>
              <w:t>1 ponto por hora, limitado a</w:t>
            </w:r>
            <w:r>
              <w:rPr>
                <w:rFonts w:cs="Arial" w:ascii="Arial" w:hAnsi="Arial"/>
              </w:rPr>
              <w:t xml:space="preserve"> 10 (dez) pontos por disciplina concluída </w:t>
            </w:r>
            <w:r>
              <w:rPr>
                <w:rFonts w:cs="Arial" w:ascii="Arial" w:hAnsi="Arial"/>
                <w:u w:val="single"/>
              </w:rPr>
              <w:t>com aprovação.</w:t>
            </w:r>
            <w:r>
              <w:rPr>
                <w:rFonts w:cs="Arial" w:ascii="Arial" w:hAnsi="Arial"/>
              </w:rPr>
              <w:t xml:space="preserve"> A comprovação deve ser feita pelo profissional mediante a apresentação de declaração, emitida pela IES, das disciplinas concluídas no ano.</w:t>
            </w:r>
          </w:p>
        </w:tc>
      </w:tr>
      <w:tr>
        <w:trPr>
          <w:trHeight w:val="470" w:hRule="atLeast"/>
          <w:cantSplit w:val="true"/>
        </w:trPr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Autoestudo credenciado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Considera-se autoestudo, o aprendizado sem interação de facilitadores, em que o profissional aprende por meio de material de estudo dirigido (impresso ou online), e, ao final do processo realiza uma prova (com, no mínimo, 75% de acertos para aprovação).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Cursos a distância por meio virtual 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Endnote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1 (um) ponto por hora </w:t>
            </w:r>
            <w:r>
              <w:rPr>
                <w:rFonts w:cs="Arial" w:ascii="Arial" w:hAnsi="Arial"/>
                <w:sz w:val="22"/>
                <w:szCs w:val="22"/>
                <w:u w:val="single"/>
              </w:rPr>
              <w:t>concluída com aprovação</w:t>
            </w:r>
            <w:r>
              <w:rPr>
                <w:rFonts w:cs="Arial" w:ascii="Arial" w:hAnsi="Arial"/>
                <w:sz w:val="22"/>
                <w:szCs w:val="22"/>
              </w:rPr>
              <w:t>.</w:t>
            </w:r>
          </w:p>
          <w:p>
            <w:pPr>
              <w:pStyle w:val="Endnote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1955" w:hRule="atLeast"/>
          <w:cantSplit w:val="true"/>
        </w:trPr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Eventos credenciados, como: conferências; seminários; fóruns; debates; encontros; reuniões técnicas; painéis; congressos; convenções; simpósios nacionais e internacionais.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Eventos que contribuam para a melhoria da </w:t>
            </w:r>
            <w:r>
              <w:rPr>
                <w:rFonts w:cs="Arial" w:ascii="Arial" w:hAnsi="Arial"/>
                <w:i/>
              </w:rPr>
              <w:t>performance</w:t>
            </w:r>
            <w:r>
              <w:rPr>
                <w:rFonts w:cs="Arial" w:ascii="Arial" w:hAnsi="Arial"/>
              </w:rPr>
              <w:t xml:space="preserve"> do profissional, com conteúdo de natureza técnica e profissional, relacionados ao PEPC.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Eventos presenciais, a distância </w:t>
            </w:r>
            <w:r>
              <w:rPr>
                <w:rFonts w:cs="Arial" w:ascii="Arial" w:hAnsi="Arial"/>
                <w:u w:val="single"/>
              </w:rPr>
              <w:t>ou misto</w:t>
            </w:r>
            <w:r>
              <w:rPr>
                <w:rFonts w:cs="Arial" w:ascii="Arial" w:hAnsi="Arial"/>
              </w:rPr>
              <w:t xml:space="preserve"> com controle de frequência.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Endnote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 (um) ponto, limitado a 20 (vinte) pontos por evento.</w:t>
            </w:r>
          </w:p>
        </w:tc>
      </w:tr>
    </w:tbl>
    <w:p>
      <w:pPr>
        <w:pStyle w:val="Corpodetexto"/>
        <w:spacing w:lineRule="auto" w:line="36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Corpodetexto"/>
        <w:spacing w:lineRule="auto" w:line="36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Corpodetexto"/>
        <w:spacing w:lineRule="auto" w:line="36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tbl>
      <w:tblPr>
        <w:tblW w:w="939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219"/>
        <w:gridCol w:w="2917"/>
        <w:gridCol w:w="3255"/>
      </w:tblGrid>
      <w:tr>
        <w:trPr>
          <w:trHeight w:val="698" w:hRule="atLeast"/>
          <w:cantSplit w:val="true"/>
        </w:trPr>
        <w:tc>
          <w:tcPr>
            <w:tcW w:w="9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Tabela II – Docência </w:t>
            </w:r>
          </w:p>
        </w:tc>
      </w:tr>
      <w:tr>
        <w:trPr>
          <w:cantSplit w:val="true"/>
        </w:trPr>
        <w:tc>
          <w:tcPr>
            <w:tcW w:w="9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Corpodetexto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 comprovação de docência deve ser feita mediante apresentação de declaração emitida por Instituição de Ensino Superior (IES), contendo disciplina, ementa, carga horária e período de realização.</w:t>
            </w:r>
          </w:p>
          <w:p>
            <w:pPr>
              <w:pStyle w:val="Normal"/>
              <w:tabs>
                <w:tab w:val="center" w:pos="446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 atribuição total de pontos para a atividade de docência é limitada</w:t>
            </w:r>
          </w:p>
          <w:p>
            <w:pPr>
              <w:pStyle w:val="Corpodetexto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 20 (vinte) pontos por ano</w:t>
            </w:r>
          </w:p>
        </w:tc>
      </w:tr>
      <w:tr>
        <w:trPr/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Corpodetexto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Natureza</w:t>
            </w: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Corpodetexto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Características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Atribuição de Pontos</w:t>
            </w:r>
          </w:p>
        </w:tc>
      </w:tr>
      <w:tr>
        <w:trPr>
          <w:trHeight w:val="757" w:hRule="atLeast"/>
          <w:cantSplit w:val="true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Pós-graduação (</w:t>
            </w:r>
            <w:r>
              <w:rPr>
                <w:rFonts w:cs="Arial" w:ascii="Arial" w:hAnsi="Arial"/>
                <w:i/>
                <w:sz w:val="22"/>
                <w:szCs w:val="22"/>
              </w:rPr>
              <w:t xml:space="preserve">lato sensu </w:t>
            </w:r>
            <w:r>
              <w:rPr>
                <w:rFonts w:cs="Arial" w:ascii="Arial" w:hAnsi="Arial"/>
                <w:sz w:val="22"/>
                <w:szCs w:val="22"/>
              </w:rPr>
              <w:t>e</w:t>
            </w:r>
            <w:r>
              <w:rPr>
                <w:rFonts w:cs="Arial" w:ascii="Arial" w:hAnsi="Arial"/>
                <w:i/>
                <w:sz w:val="22"/>
                <w:szCs w:val="22"/>
              </w:rPr>
              <w:t xml:space="preserve"> stricto sensu)</w:t>
            </w:r>
          </w:p>
        </w:tc>
        <w:tc>
          <w:tcPr>
            <w:tcW w:w="29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Disciplinas relacionadas ao PEPC ministradas por IES credenciada pelo MEC.</w:t>
            </w:r>
          </w:p>
        </w:tc>
        <w:tc>
          <w:tcPr>
            <w:tcW w:w="3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</w:rPr>
              <w:t>1 ponto por hora, limitado a</w:t>
            </w:r>
            <w:r>
              <w:rPr>
                <w:rFonts w:cs="Arial" w:ascii="Arial" w:hAnsi="Arial"/>
                <w:sz w:val="22"/>
                <w:szCs w:val="22"/>
              </w:rPr>
              <w:t xml:space="preserve"> 10 (dez) pontos por disciplina ministrada no ano.</w:t>
            </w:r>
          </w:p>
          <w:p>
            <w:pPr>
              <w:pStyle w:val="Corpodetexto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Observação: A disciplina ministrada em mais de uma turma, independentemente da instituição e do semestre letivo, é computada uma vez no ano.</w:t>
            </w:r>
          </w:p>
        </w:tc>
      </w:tr>
      <w:tr>
        <w:trPr>
          <w:cantSplit w:val="true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Graduação e cursos de extensão</w:t>
            </w:r>
          </w:p>
        </w:tc>
        <w:tc>
          <w:tcPr>
            <w:tcW w:w="29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</w:tc>
        <w:tc>
          <w:tcPr>
            <w:tcW w:w="3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Cursos ou eventos credenciados</w:t>
            </w: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Participação como conferencista, palestrante, painelista, instrutor e facilitador em eventos nacionais e internacionais.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Endnote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Endnote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 (um) ponto por hora.</w:t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</w:r>
          </w:p>
        </w:tc>
      </w:tr>
    </w:tbl>
    <w:p>
      <w:pPr>
        <w:pStyle w:val="Corpodetexto"/>
        <w:spacing w:lineRule="auto" w:line="36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5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489"/>
        <w:gridCol w:w="3804"/>
        <w:gridCol w:w="1261"/>
        <w:gridCol w:w="2700"/>
      </w:tblGrid>
      <w:tr>
        <w:trPr>
          <w:trHeight w:val="541" w:hRule="atLeast"/>
        </w:trPr>
        <w:tc>
          <w:tcPr>
            <w:tcW w:w="92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Tabela III – Atuação como participante </w:t>
            </w:r>
          </w:p>
          <w:p>
            <w:pPr>
              <w:pStyle w:val="Normal"/>
              <w:tabs>
                <w:tab w:val="center" w:pos="446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 atribuição total de pontos para atuação como participante é limitada</w:t>
            </w:r>
          </w:p>
          <w:p>
            <w:pPr>
              <w:pStyle w:val="Corpodetexto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 20 (vinte) pontos por ano</w:t>
            </w:r>
            <w:r>
              <w:rPr>
                <w:rFonts w:cs="Arial" w:ascii="Arial" w:hAnsi="Arial"/>
                <w:b/>
                <w:color w:val="FF3333"/>
                <w:sz w:val="22"/>
                <w:szCs w:val="22"/>
              </w:rPr>
              <w:t xml:space="preserve">  </w:t>
            </w:r>
          </w:p>
        </w:tc>
      </w:tr>
      <w:tr>
        <w:trPr/>
        <w:tc>
          <w:tcPr>
            <w:tcW w:w="92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A comprovação deve ser feita mediante a apresentação de documentação.   </w:t>
            </w:r>
          </w:p>
        </w:tc>
      </w:tr>
      <w:tr>
        <w:trPr>
          <w:trHeight w:val="265" w:hRule="atLeast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Natureza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Características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tulo5"/>
              <w:numPr>
                <w:ilvl w:val="4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Requisitos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Atribuição de Pontos</w:t>
            </w:r>
          </w:p>
        </w:tc>
      </w:tr>
      <w:tr>
        <w:trPr>
          <w:trHeight w:val="2413" w:hRule="atLeast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Comissões Técnicas e Profissionais</w:t>
            </w:r>
            <w:r>
              <w:rPr>
                <w:rFonts w:cs="Arial" w:ascii="Arial" w:hAnsi="Arial"/>
                <w:sz w:val="22"/>
                <w:szCs w:val="22"/>
                <w:u w:val="single"/>
              </w:rPr>
              <w:t>; grupos de estudo</w:t>
            </w:r>
            <w:r>
              <w:rPr>
                <w:rFonts w:cs="Arial" w:ascii="Arial" w:hAnsi="Arial"/>
                <w:sz w:val="22"/>
                <w:szCs w:val="22"/>
              </w:rPr>
              <w:t xml:space="preserve"> no Brasil ou no exterior.</w:t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Temas relacionados à Contabilidade, à Auditoria, à Perícia e às normas da profissão contábil</w:t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Comissões Técnicas e de Pesquisa do CFC, dos CRCs, do Ibracon, da FBC, da Abracicon e outros órgãos reguladores.</w:t>
            </w:r>
          </w:p>
          <w:p>
            <w:pPr>
              <w:pStyle w:val="Corpodetexto"/>
              <w:numPr>
                <w:ilvl w:val="0"/>
                <w:numId w:val="5"/>
              </w:numPr>
              <w:suppressAutoHyphens w:val="false"/>
              <w:spacing w:before="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Comissões Técnicas e de Pesquisa de instituições de reconhecido prestígio.</w:t>
            </w:r>
          </w:p>
          <w:p>
            <w:pPr>
              <w:pStyle w:val="Corpodetexto"/>
              <w:numPr>
                <w:ilvl w:val="0"/>
                <w:numId w:val="5"/>
              </w:numPr>
              <w:suppressAutoHyphens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Comissões, órgãos e comitês de orientações ao mercado de companhias abertas.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 (doze) meses ou proporção.</w:t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1 (um) ponto por </w:t>
            </w:r>
            <w:r>
              <w:rPr>
                <w:rFonts w:cs="Arial" w:ascii="Arial" w:hAnsi="Arial"/>
                <w:bCs/>
                <w:sz w:val="22"/>
                <w:szCs w:val="22"/>
                <w:lang w:eastAsia="en-US"/>
              </w:rPr>
              <w:t xml:space="preserve">hora. </w:t>
            </w:r>
          </w:p>
        </w:tc>
      </w:tr>
      <w:tr>
        <w:trPr>
          <w:trHeight w:val="474" w:hRule="atLeast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Orientação de tese, dissertação ou monografia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Corpodetexto"/>
              <w:suppressAutoHyphens w:val="false"/>
              <w:spacing w:before="0" w:after="0"/>
              <w:rPr>
                <w:rFonts w:ascii="Arial" w:hAnsi="Arial" w:cs="Arial"/>
                <w:bCs/>
                <w:iCs/>
                <w:color w:val="0070C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Temas relacionados à Contabilidade, à Auditoria, à Perícia e às normas da profissão contábil: </w:t>
            </w:r>
          </w:p>
          <w:p>
            <w:pPr>
              <w:pStyle w:val="Corpodetexto"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(a) Doutorado</w:t>
            </w:r>
          </w:p>
          <w:p>
            <w:pPr>
              <w:pStyle w:val="Corpodetexto"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(b) Mestrado</w:t>
            </w:r>
          </w:p>
          <w:p>
            <w:pPr>
              <w:pStyle w:val="Corpodetexto"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(c) Especialização</w:t>
            </w:r>
          </w:p>
          <w:p>
            <w:pPr>
              <w:pStyle w:val="Corpodetexto"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(d) Bacharelado</w:t>
            </w:r>
          </w:p>
          <w:p>
            <w:pPr>
              <w:pStyle w:val="Corpodetexto"/>
              <w:suppressAutoHyphens w:val="false"/>
              <w:spacing w:before="0" w:after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Trabalho aprovado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(a) 10 (dez) pontos.</w:t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(b) 7 (sete) pontos.</w:t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(c) 4 (quatro) pontos.</w:t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(d) 3 (três) pontos.</w:t>
            </w:r>
          </w:p>
        </w:tc>
      </w:tr>
      <w:tr>
        <w:trPr>
          <w:trHeight w:val="474" w:hRule="atLeast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Participação em bancas acadêmicas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Corpodetexto"/>
              <w:suppressAutoHyphens w:val="false"/>
              <w:spacing w:before="0" w:after="0"/>
              <w:rPr>
                <w:rFonts w:ascii="Arial" w:hAnsi="Arial" w:cs="Arial"/>
                <w:bCs/>
                <w:iCs/>
                <w:color w:val="0070C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Temas relacionados à Contabilidade, à Auditoria, à Perícia e às normas da profissão contábil: </w:t>
            </w:r>
          </w:p>
          <w:p>
            <w:pPr>
              <w:pStyle w:val="Corpodetexto"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(a) Doutorado</w:t>
            </w:r>
          </w:p>
          <w:p>
            <w:pPr>
              <w:pStyle w:val="Corpodetexto"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(b) Mestrado</w:t>
            </w:r>
          </w:p>
          <w:p>
            <w:pPr>
              <w:pStyle w:val="Corpodetexto"/>
              <w:suppressAutoHyphens w:val="false"/>
              <w:spacing w:before="0" w:after="0"/>
              <w:ind w:left="233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Trabalho aprovado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Corpodetexto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(a) 5 (cinco) pontos.</w:t>
            </w:r>
          </w:p>
          <w:p>
            <w:pPr>
              <w:pStyle w:val="Corpodetexto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(b) 3 (três) pontos. </w:t>
            </w:r>
          </w:p>
          <w:p>
            <w:pPr>
              <w:pStyle w:val="Corpodetexto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"/>
              <w:spacing w:before="0" w:after="0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cs="Arial" w:ascii="Arial" w:hAnsi="Arial"/>
                <w:strike/>
                <w:sz w:val="22"/>
                <w:szCs w:val="22"/>
              </w:rPr>
              <w:t>Limitado a 10 (dez) pontos por ano.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tbl>
      <w:tblPr>
        <w:tblW w:w="907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413"/>
        <w:gridCol w:w="4110"/>
        <w:gridCol w:w="2552"/>
      </w:tblGrid>
      <w:tr>
        <w:trPr>
          <w:trHeight w:val="539" w:hRule="atLeast"/>
        </w:trPr>
        <w:tc>
          <w:tcPr>
            <w:tcW w:w="90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tabs>
                <w:tab w:val="center" w:pos="446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Tabela IV – Produção Intelectual </w:t>
            </w:r>
          </w:p>
        </w:tc>
      </w:tr>
      <w:tr>
        <w:trPr/>
        <w:tc>
          <w:tcPr>
            <w:tcW w:w="90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tabs>
                <w:tab w:val="center" w:pos="4465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ab/>
              <w:t xml:space="preserve">A atribuição total de pontos da produção intelectual é limitada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 20 (vinte) pontos por ano</w:t>
            </w:r>
          </w:p>
        </w:tc>
      </w:tr>
      <w:tr>
        <w:trPr>
          <w:trHeight w:val="237" w:hRule="atLeast"/>
        </w:trPr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Natureza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Características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Atribuição de Pontos</w:t>
            </w:r>
          </w:p>
        </w:tc>
      </w:tr>
      <w:tr>
        <w:trPr>
          <w:trHeight w:val="762" w:hRule="atLeast"/>
        </w:trPr>
        <w:tc>
          <w:tcPr>
            <w:tcW w:w="2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Publicação</w:t>
            </w:r>
            <w:r>
              <w:rPr>
                <w:rFonts w:cs="Arial" w:ascii="Arial" w:hAnsi="Arial"/>
                <w:bCs/>
                <w:sz w:val="22"/>
                <w:szCs w:val="22"/>
                <w:lang w:eastAsia="en-US"/>
              </w:rPr>
              <w:t>, no exercício,</w:t>
            </w:r>
            <w:r>
              <w:rPr>
                <w:rFonts w:cs="Arial" w:ascii="Arial" w:hAnsi="Arial"/>
                <w:sz w:val="22"/>
                <w:szCs w:val="22"/>
              </w:rPr>
              <w:t xml:space="preserve"> de artigos em jornais e em revistas nacionais e internacionais, de forma impressa e eletrônica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Matérias e artigos relacionadas à Contabilidade, à Auditoria, à Perícia e à profissão contábil homologadas pela CEPC/CFC.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Até 3 (três) pontos por matéria.</w:t>
            </w:r>
          </w:p>
        </w:tc>
      </w:tr>
      <w:tr>
        <w:trPr>
          <w:trHeight w:val="837" w:hRule="atLeast"/>
        </w:trPr>
        <w:tc>
          <w:tcPr>
            <w:tcW w:w="24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zh-CN"/>
              </w:rPr>
            </w:pPr>
            <w:r>
              <w:rPr>
                <w:rFonts w:eastAsia="Times New Roman" w:cs="Arial" w:ascii="Arial" w:hAnsi="Arial"/>
                <w:lang w:eastAsia="zh-CN"/>
              </w:rPr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Artigos técnicos publicados em revista </w:t>
            </w:r>
            <w:r>
              <w:rPr>
                <w:rFonts w:cs="Arial" w:ascii="Arial" w:hAnsi="Arial"/>
                <w:sz w:val="22"/>
                <w:szCs w:val="22"/>
                <w:u w:val="single"/>
              </w:rPr>
              <w:t>qualificada pela CAPES</w:t>
            </w:r>
            <w:r>
              <w:rPr>
                <w:rFonts w:cs="Arial" w:ascii="Arial" w:hAnsi="Arial"/>
                <w:sz w:val="22"/>
                <w:szCs w:val="22"/>
              </w:rPr>
              <w:t xml:space="preserve"> ou jornal de circulação nacional e internacional e homologados pela CEPC/CFC.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Até 7 (sete) pontos por artigo.</w:t>
            </w:r>
          </w:p>
        </w:tc>
      </w:tr>
      <w:tr>
        <w:trPr>
          <w:trHeight w:val="922" w:hRule="atLeast"/>
        </w:trPr>
        <w:tc>
          <w:tcPr>
            <w:tcW w:w="2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eastAsia="en-US"/>
              </w:rPr>
              <w:t>Apresentação, no exercício, de estudos</w:t>
            </w:r>
            <w:r>
              <w:rPr>
                <w:rFonts w:cs="Arial" w:ascii="Arial" w:hAnsi="Arial"/>
                <w:sz w:val="22"/>
                <w:szCs w:val="22"/>
              </w:rPr>
              <w:t xml:space="preserve"> ou trabalhos de pesquisa técnica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eastAsia="en-US"/>
              </w:rPr>
              <w:t>Participação</w:t>
            </w:r>
            <w:r>
              <w:rPr>
                <w:rFonts w:cs="Arial" w:ascii="Arial" w:hAnsi="Arial"/>
                <w:sz w:val="22"/>
                <w:szCs w:val="22"/>
              </w:rPr>
              <w:t xml:space="preserve"> em congressos internacionais relacionados à Contabilidade, à Auditoria, à Perícia e à profissão e aprovados pela CEPC/CFC.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trike/>
                <w:sz w:val="22"/>
                <w:szCs w:val="22"/>
              </w:rPr>
              <w:t>Até 10 (dez) pontos por estudo ou trabalho.</w:t>
            </w:r>
            <w:r>
              <w:rPr>
                <w:rFonts w:cs="Arial" w:ascii="Arial" w:hAnsi="Arial"/>
                <w:sz w:val="22"/>
                <w:szCs w:val="22"/>
              </w:rPr>
              <w:t xml:space="preserve"> Até 15 (quinze) pontos por estudo ou trabalho.</w:t>
            </w:r>
          </w:p>
        </w:tc>
      </w:tr>
      <w:tr>
        <w:trPr>
          <w:trHeight w:val="1192" w:hRule="atLeast"/>
        </w:trPr>
        <w:tc>
          <w:tcPr>
            <w:tcW w:w="24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zh-CN"/>
              </w:rPr>
            </w:pPr>
            <w:r>
              <w:rPr>
                <w:rFonts w:eastAsia="Times New Roman" w:cs="Arial" w:ascii="Arial" w:hAnsi="Arial"/>
                <w:lang w:eastAsia="zh-CN"/>
              </w:rPr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Participação em congressos ou convenções nacionais relacionados à Contabilidade, à Auditoria, à Perícia e à profissão contábil e que façam parte do PEPC reconhecido pela CEPC/CFC.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cs="Arial" w:ascii="Arial" w:hAnsi="Arial"/>
                <w:strike/>
                <w:sz w:val="22"/>
                <w:szCs w:val="22"/>
              </w:rPr>
              <w:t>Até 15 (quinze) pontos por estudo ou trabalho.</w:t>
            </w:r>
          </w:p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Até 10 (dez) pontos por estudo ou trabalho</w:t>
            </w:r>
          </w:p>
        </w:tc>
      </w:tr>
      <w:tr>
        <w:trPr>
          <w:trHeight w:val="871" w:hRule="atLeast"/>
        </w:trPr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Autoria de livros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Autoria de </w:t>
            </w:r>
            <w:r>
              <w:rPr>
                <w:rFonts w:cs="Arial" w:ascii="Arial" w:hAnsi="Arial"/>
                <w:bCs/>
                <w:sz w:val="22"/>
                <w:szCs w:val="22"/>
                <w:lang w:eastAsia="en-US"/>
              </w:rPr>
              <w:t>livro publicado, no exercício,</w:t>
            </w:r>
            <w:r>
              <w:rPr>
                <w:rFonts w:cs="Arial" w:ascii="Arial" w:hAnsi="Arial"/>
                <w:sz w:val="22"/>
                <w:szCs w:val="22"/>
              </w:rPr>
              <w:t xml:space="preserve"> relacionados à Contabilidade, à Auditoria, à Perícia e à profissão contábil</w:t>
            </w:r>
            <w:r>
              <w:rPr>
                <w:rFonts w:cs="Arial" w:ascii="Arial" w:hAnsi="Arial"/>
                <w:bCs/>
                <w:sz w:val="22"/>
                <w:szCs w:val="22"/>
                <w:lang w:eastAsia="en-US"/>
              </w:rPr>
              <w:t>, reconhecido pela CEPC/CFC</w:t>
            </w:r>
            <w:r>
              <w:rPr>
                <w:rFonts w:cs="Arial" w:ascii="Arial" w:hAnsi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Até 20 (vinte) pontos por obra.</w:t>
            </w:r>
          </w:p>
        </w:tc>
      </w:tr>
      <w:tr>
        <w:trPr>
          <w:trHeight w:val="802" w:hRule="atLeast"/>
        </w:trPr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Coautoria de livros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Coautoria de </w:t>
            </w:r>
            <w:r>
              <w:rPr>
                <w:rFonts w:cs="Arial" w:ascii="Arial" w:hAnsi="Arial"/>
                <w:bCs/>
                <w:sz w:val="22"/>
                <w:szCs w:val="22"/>
                <w:lang w:eastAsia="en-US"/>
              </w:rPr>
              <w:t>livro publicado no exercício,</w:t>
            </w:r>
            <w:r>
              <w:rPr>
                <w:rFonts w:cs="Arial" w:ascii="Arial" w:hAnsi="Arial"/>
                <w:sz w:val="22"/>
                <w:szCs w:val="22"/>
              </w:rPr>
              <w:t xml:space="preserve"> relacionados à Contabilidade, à Auditoria, à Perícia e à profissão contábil.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Até 10 (dez) pontos por obra.</w:t>
            </w:r>
          </w:p>
        </w:tc>
      </w:tr>
      <w:tr>
        <w:trPr/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Tradução de livros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Tradução e adaptação, no exercício, de livros publicados no exterior relacionados à Contabilidade, à Auditoria, à Perícia e à profissão contábil, aprovados pela CEPC/CFC.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rpodetexto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Até 10 (dez) pontos por obra.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Observação: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 pontuação resultante da conversão das horas não deve apresentar fracionamento inferior ou superior a meio ponto (0,5). Os cálculos decorrentes do número de horas cumpridas pelo profissional devem ser “arredondados” para maior ou menor, de acordo com a aproximação.</w:t>
      </w:r>
    </w:p>
    <w:p>
      <w:pPr>
        <w:pStyle w:val="Corpodetexto"/>
        <w:spacing w:before="0" w:after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Corpodetexto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trike/>
          <w:sz w:val="22"/>
          <w:szCs w:val="22"/>
        </w:rPr>
        <w:t>A CEPC/CFC poderá emitir orientação referente à pontuação de cursos e eventos por meio de tabela específica de pontuação.</w:t>
      </w:r>
      <w:r>
        <w:rPr>
          <w:rFonts w:cs="Arial" w:ascii="Arial" w:hAnsi="Arial"/>
          <w:bCs/>
          <w:sz w:val="22"/>
          <w:szCs w:val="22"/>
        </w:rPr>
        <w:t xml:space="preserve"> Eliminado. </w:t>
      </w:r>
    </w:p>
    <w:p>
      <w:pPr>
        <w:pStyle w:val="Corpodetexto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Corpodetexto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Corpodetexto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Corpodetexto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ANEXO III</w:t>
      </w:r>
    </w:p>
    <w:p>
      <w:pPr>
        <w:pStyle w:val="Corpodetexto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RELATÓRIO DE ATIVIDADES</w:t>
      </w:r>
    </w:p>
    <w:p>
      <w:pPr>
        <w:pStyle w:val="Corpodetexto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br/>
      </w:r>
      <w:r>
        <w:rPr>
          <w:rFonts w:cs="Arial" w:ascii="Arial" w:hAnsi="Arial"/>
          <w:b/>
          <w:bCs/>
          <w:sz w:val="22"/>
          <w:szCs w:val="22"/>
        </w:rPr>
        <w:t>PROGRAMA DE EDUCAÇÃO PROFISSIONAL CONTINUADA</w:t>
      </w:r>
    </w:p>
    <w:tbl>
      <w:tblPr>
        <w:tblW w:w="10186" w:type="dxa"/>
        <w:jc w:val="center"/>
        <w:tblInd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  <w:insideH w:val="outset" w:sz="6" w:space="0" w:color="CCCCCC"/>
          <w:insideV w:val="outset" w:sz="6" w:space="0" w:color="CCCCCC"/>
        </w:tblBorders>
        <w:tblCellMar>
          <w:top w:w="30" w:type="dxa"/>
          <w:left w:w="29" w:type="dxa"/>
          <w:bottom w:w="30" w:type="dxa"/>
          <w:right w:w="30" w:type="dxa"/>
        </w:tblCellMar>
        <w:tblLook w:val="0000"/>
      </w:tblPr>
      <w:tblGrid>
        <w:gridCol w:w="2041"/>
        <w:gridCol w:w="2102"/>
        <w:gridCol w:w="2013"/>
        <w:gridCol w:w="1"/>
        <w:gridCol w:w="1662"/>
        <w:gridCol w:w="1"/>
        <w:gridCol w:w="1059"/>
        <w:gridCol w:w="1306"/>
      </w:tblGrid>
      <w:tr>
        <w:trPr/>
        <w:tc>
          <w:tcPr>
            <w:tcW w:w="10185" w:type="dxa"/>
            <w:gridSpan w:val="8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Nome: 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CRC Registro n.º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Estado de origem:  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CPF n.º 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CNAI n.º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CNPC n.º 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Endereço preferencial para comunicação ( ) Com. ( ) Res.: 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Rua/Av.:...................................................................................n.º..............Bairro:........................ Cidade:................................................UF:..................................CEP:....................</w:t>
              <w:br/>
              <w:t xml:space="preserve">Telefones ( ) Com. ( ) Res.: .......................... Celular: ........................... 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E-mail: .........................................................</w:t>
            </w:r>
          </w:p>
        </w:tc>
      </w:tr>
      <w:tr>
        <w:trPr>
          <w:trHeight w:val="633" w:hRule="atLeast"/>
        </w:trPr>
        <w:tc>
          <w:tcPr>
            <w:tcW w:w="10185" w:type="dxa"/>
            <w:gridSpan w:val="8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bCs/>
                <w:iCs/>
              </w:rPr>
            </w:pPr>
            <w:r>
              <w:rPr>
                <w:rFonts w:cs="Arial" w:ascii="Arial" w:hAnsi="Arial"/>
                <w:bCs/>
                <w:iCs/>
              </w:rPr>
              <w:t>Função exercida: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Cs/>
                <w:iCs/>
              </w:rPr>
            </w:pPr>
            <w:r>
              <w:rPr>
                <w:rFonts w:cs="Arial" w:ascii="Arial" w:hAnsi="Arial"/>
                <w:bCs/>
                <w:iCs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AUDITORIA INDEPENDENTE: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hipóteses das alíneas (a), (b), (c) e (d) do item 4 desta norma: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) Auditor CNAI;  (   ) Sócio; (   ) Terceirizado firma de auditoria;  (   ) Diretor;  (   ) Gerente; (   ) Supervisor;    (   ) Responsável Técnico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ORGANIZAÇÕES CONTÁBEIS QUE POSSUAM A TIVIDADE DE AUDITORIA NO OBJETO SOCIAL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hipótese da alínea (e) do item 4 desta norma: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) Sócio;   (   ) Diretor;  (   ) Gerente; (   ) Supervisor; (   ) Responsável Técnico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DEMAIS ENTIDADES DE GRANDE PORTE E ENTIDADES SEM FINALIDADE DE LUCROS: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hipóteses da alínea (f) do item 4 desta norma: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Resp. Técnico Demonstrações Contábeis; (   ) Diretor ; (   ) Chefe; (   ) Gerente; (   ) Supervisor  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SOCIEDADES E DAS ENTIDADES SEM FINS LUCRATIVOS QUE TIVEREM, NO EXERCÍCIO SOCIAL ANTERIOR, RECEITA BRUTA, IGUAL OU SUPERIOR A R$ 78 MILHÕES: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- hipóteses da alínea (h) do item 4 desta norma: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 xml:space="preserve">(   ) Resp. Técnico Demonstrações Contábeis; 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PREVIC: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- hipóteses das alíneas (d) e (f) do item 4 desta norma: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(   ) Previc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PERITO CONTÁBIL: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hipótese da alínea (g) do item 4 desta norma: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(   ) Perito (CNPC)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VOLUNTÁRIO: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 ) Realizei atividades de EPC mesmo não estando incluído em nenhuma das situações previstas no item 4 desta norma. </w:t>
            </w:r>
          </w:p>
        </w:tc>
      </w:tr>
      <w:tr>
        <w:trPr>
          <w:trHeight w:val="633" w:hRule="atLeast"/>
        </w:trPr>
        <w:tc>
          <w:tcPr>
            <w:tcW w:w="10185" w:type="dxa"/>
            <w:gridSpan w:val="8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RELATÓRIO DE ATIVIDADES</w:t>
              <w:br/>
            </w:r>
            <w:r>
              <w:rPr>
                <w:rFonts w:cs="Arial" w:ascii="Arial" w:hAnsi="Arial"/>
                <w:b/>
                <w:bCs/>
                <w:iCs/>
              </w:rPr>
              <w:t>Exercício</w:t>
            </w:r>
            <w:r>
              <w:rPr>
                <w:rFonts w:cs="Arial" w:ascii="Arial" w:hAnsi="Arial"/>
                <w:b/>
                <w:bCs/>
                <w:i/>
                <w:iCs/>
              </w:rPr>
              <w:t>: 1º/1/............... a 31/12/.............</w:t>
            </w:r>
          </w:p>
        </w:tc>
      </w:tr>
      <w:tr>
        <w:trPr>
          <w:trHeight w:val="335" w:hRule="atLeast"/>
        </w:trPr>
        <w:tc>
          <w:tcPr>
            <w:tcW w:w="10185" w:type="dxa"/>
            <w:gridSpan w:val="8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I. AQUISIÇÃO DE CONHECIMENTOS</w:t>
            </w:r>
          </w:p>
        </w:tc>
      </w:tr>
      <w:tr>
        <w:trPr>
          <w:trHeight w:val="525" w:hRule="atLeast"/>
        </w:trPr>
        <w:tc>
          <w:tcPr>
            <w:tcW w:w="2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CURSO/EVENTO</w:t>
            </w:r>
          </w:p>
        </w:tc>
        <w:tc>
          <w:tcPr>
            <w:tcW w:w="210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CAPACITADORA</w:t>
            </w:r>
          </w:p>
        </w:tc>
        <w:tc>
          <w:tcPr>
            <w:tcW w:w="20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N.º DA</w:t>
              <w:br/>
              <w:t>CAPACITADORA</w:t>
            </w:r>
          </w:p>
        </w:tc>
        <w:tc>
          <w:tcPr>
            <w:tcW w:w="166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OU</w:t>
              <w:br/>
              <w:t>PERÍODO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CÓDIGO</w:t>
              <w:br/>
              <w:t>DO CURSO</w:t>
            </w:r>
          </w:p>
        </w:tc>
        <w:tc>
          <w:tcPr>
            <w:tcW w:w="13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CRÉDITOS DE</w:t>
              <w:br/>
              <w:t>PONTOS</w:t>
            </w:r>
          </w:p>
        </w:tc>
      </w:tr>
      <w:tr>
        <w:trPr>
          <w:trHeight w:val="312" w:hRule="atLeast"/>
        </w:trPr>
        <w:tc>
          <w:tcPr>
            <w:tcW w:w="2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10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0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66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/>
        <w:tc>
          <w:tcPr>
            <w:tcW w:w="2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10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0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66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/>
        <w:tc>
          <w:tcPr>
            <w:tcW w:w="10185" w:type="dxa"/>
            <w:gridSpan w:val="8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II. DOCÊNCIA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Atividade que necessita de apreciação para atribuição de pontuação.</w:t>
            </w:r>
          </w:p>
        </w:tc>
      </w:tr>
      <w:tr>
        <w:trPr/>
        <w:tc>
          <w:tcPr>
            <w:tcW w:w="2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DISCIPLINA</w:t>
            </w:r>
          </w:p>
        </w:tc>
        <w:tc>
          <w:tcPr>
            <w:tcW w:w="210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CAPACITADORA/ INSTITUIÇÃO DE ENSINO</w:t>
            </w:r>
          </w:p>
        </w:tc>
        <w:tc>
          <w:tcPr>
            <w:tcW w:w="20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N.º DA CAPACITADORA </w:t>
            </w:r>
          </w:p>
        </w:tc>
        <w:tc>
          <w:tcPr>
            <w:tcW w:w="166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DATA OU PERÍODO 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CÓDIGO DO CURSO</w:t>
            </w:r>
          </w:p>
        </w:tc>
        <w:tc>
          <w:tcPr>
            <w:tcW w:w="13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CRÉDITOS DE PONTOS</w:t>
            </w:r>
          </w:p>
        </w:tc>
      </w:tr>
      <w:tr>
        <w:trPr/>
        <w:tc>
          <w:tcPr>
            <w:tcW w:w="2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10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0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66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/>
        <w:tc>
          <w:tcPr>
            <w:tcW w:w="2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10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0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66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/>
        <w:tc>
          <w:tcPr>
            <w:tcW w:w="10185" w:type="dxa"/>
            <w:gridSpan w:val="8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III. ATUAÇÃO COMO PARTICIPANTE (COMISSÕES TÉCNICAS E PROFISSIONAIS)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Atividade que necessita de apreciação para atribuição de pontuação.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</w:p>
        </w:tc>
      </w:tr>
      <w:tr>
        <w:trPr/>
        <w:tc>
          <w:tcPr>
            <w:tcW w:w="2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COMISSÃO/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BANCA EXAMINADORA</w:t>
            </w:r>
          </w:p>
        </w:tc>
        <w:tc>
          <w:tcPr>
            <w:tcW w:w="411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ENTIDADE</w:t>
            </w:r>
          </w:p>
        </w:tc>
        <w:tc>
          <w:tcPr>
            <w:tcW w:w="166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OU PERÍODO</w:t>
            </w:r>
          </w:p>
        </w:tc>
        <w:tc>
          <w:tcPr>
            <w:tcW w:w="2366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CRÉDITOS DE PONTOS</w:t>
            </w:r>
          </w:p>
        </w:tc>
      </w:tr>
      <w:tr>
        <w:trPr/>
        <w:tc>
          <w:tcPr>
            <w:tcW w:w="2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411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66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366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/>
        <w:tc>
          <w:tcPr>
            <w:tcW w:w="2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411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66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366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/>
        <w:tc>
          <w:tcPr>
            <w:tcW w:w="10185" w:type="dxa"/>
            <w:gridSpan w:val="8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IV. PRODUÇÃO INTELECTUAL (LIVROS, ARTIGOS E PESQUISAS)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Atividade que necessita de apreciação para atribuição de pontuação.</w:t>
            </w:r>
          </w:p>
        </w:tc>
      </w:tr>
      <w:tr>
        <w:trPr/>
        <w:tc>
          <w:tcPr>
            <w:tcW w:w="2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TÍTULO</w:t>
            </w:r>
          </w:p>
        </w:tc>
        <w:tc>
          <w:tcPr>
            <w:tcW w:w="411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FONTE</w:t>
            </w:r>
          </w:p>
        </w:tc>
        <w:tc>
          <w:tcPr>
            <w:tcW w:w="166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PUBLICAÇÃO</w:t>
            </w:r>
          </w:p>
        </w:tc>
        <w:tc>
          <w:tcPr>
            <w:tcW w:w="2366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CRÉDITOS DE PONTOS </w:t>
            </w:r>
          </w:p>
        </w:tc>
      </w:tr>
      <w:tr>
        <w:trPr/>
        <w:tc>
          <w:tcPr>
            <w:tcW w:w="2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411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66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366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/>
        <w:tc>
          <w:tcPr>
            <w:tcW w:w="2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411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66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366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/>
        <w:tc>
          <w:tcPr>
            <w:tcW w:w="10185" w:type="dxa"/>
            <w:gridSpan w:val="8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TOTAL DE PONTOS: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before="0" w:after="0"/>
              <w:ind w:left="513" w:hanging="14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Aquisição de Conhecimento: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before="0" w:after="0"/>
              <w:ind w:left="513" w:hanging="14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Docência: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before="0" w:after="0"/>
              <w:ind w:left="513" w:hanging="14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Atuação como participante: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before="0" w:after="0"/>
              <w:ind w:left="513" w:hanging="14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Produção intelectual:</w:t>
            </w:r>
          </w:p>
        </w:tc>
      </w:tr>
      <w:tr>
        <w:trPr/>
        <w:tc>
          <w:tcPr>
            <w:tcW w:w="10185" w:type="dxa"/>
            <w:gridSpan w:val="8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  <w:insideH w:val="outset" w:sz="6" w:space="0" w:color="CCCCCC"/>
              <w:insideV w:val="outset" w:sz="6" w:space="0" w:color="CCCCCC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tbl>
            <w:tblPr>
              <w:tblW w:w="10079" w:type="dxa"/>
              <w:jc w:val="center"/>
              <w:tblInd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  <w:insideH w:val="outset" w:sz="6" w:space="0" w:color="CCCCCC"/>
                <w:insideV w:val="outset" w:sz="6" w:space="0" w:color="CCCCCC"/>
              </w:tblBorders>
              <w:tblCellMar>
                <w:top w:w="30" w:type="dxa"/>
                <w:left w:w="7" w:type="dxa"/>
                <w:bottom w:w="30" w:type="dxa"/>
                <w:right w:w="30" w:type="dxa"/>
              </w:tblCellMar>
              <w:tblLook w:val="0000"/>
            </w:tblPr>
            <w:tblGrid>
              <w:gridCol w:w="10079"/>
            </w:tblGrid>
            <w:tr>
              <w:trPr/>
              <w:tc>
                <w:tcPr>
                  <w:tcW w:w="1007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  <w:insideH w:val="outset" w:sz="6" w:space="0" w:color="CCCCCC"/>
                    <w:insideV w:val="outset" w:sz="6" w:space="0" w:color="CCCCCC"/>
                  </w:tcBorders>
                  <w:shd w:fill="auto" w:val="clear"/>
                  <w:tcMar>
                    <w:left w:w="7" w:type="dxa"/>
                  </w:tcMar>
                  <w:vAlign w:val="cente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Cs/>
                    </w:rPr>
                    <w:t>DECLARO SOB RESPONSABILIDADE QUE SÃO VERDADEIRAS AS INFORMAÇÕES CONTIDAS NESTE DOCUMENTO.</w:t>
                  </w:r>
                </w:p>
              </w:tc>
            </w:tr>
          </w:tbl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 , .............., de ............................................... de 20XX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Assinatura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spacing w:before="0" w:after="200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787" w:hanging="360"/>
      </w:pPr>
      <w:rPr>
        <w:sz w:val="24"/>
        <w:b/>
        <w:szCs w:val="24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2507" w:hanging="360"/>
      </w:pPr>
    </w:lvl>
    <w:lvl w:ilvl="2">
      <w:start w:val="1"/>
      <w:numFmt w:val="lowerRoman"/>
      <w:lvlText w:val="%3."/>
      <w:lvlJc w:val="right"/>
      <w:pPr>
        <w:ind w:left="3227" w:hanging="180"/>
      </w:pPr>
    </w:lvl>
    <w:lvl w:ilvl="3">
      <w:start w:val="1"/>
      <w:numFmt w:val="decimal"/>
      <w:lvlText w:val="%4."/>
      <w:lvlJc w:val="left"/>
      <w:pPr>
        <w:ind w:left="3947" w:hanging="360"/>
      </w:pPr>
    </w:lvl>
    <w:lvl w:ilvl="4">
      <w:start w:val="1"/>
      <w:numFmt w:val="lowerLetter"/>
      <w:lvlText w:val="%5."/>
      <w:lvlJc w:val="left"/>
      <w:pPr>
        <w:ind w:left="4667" w:hanging="360"/>
      </w:pPr>
    </w:lvl>
    <w:lvl w:ilvl="5">
      <w:start w:val="1"/>
      <w:numFmt w:val="lowerRoman"/>
      <w:lvlText w:val="%6."/>
      <w:lvlJc w:val="right"/>
      <w:pPr>
        <w:ind w:left="5387" w:hanging="180"/>
      </w:pPr>
    </w:lvl>
    <w:lvl w:ilvl="6">
      <w:start w:val="1"/>
      <w:numFmt w:val="decimal"/>
      <w:lvlText w:val="%7."/>
      <w:lvlJc w:val="left"/>
      <w:pPr>
        <w:ind w:left="6107" w:hanging="360"/>
      </w:pPr>
    </w:lvl>
    <w:lvl w:ilvl="7">
      <w:start w:val="1"/>
      <w:numFmt w:val="lowerLetter"/>
      <w:lvlText w:val="%8."/>
      <w:lvlJc w:val="left"/>
      <w:pPr>
        <w:ind w:left="6827" w:hanging="360"/>
      </w:pPr>
    </w:lvl>
    <w:lvl w:ilvl="8">
      <w:start w:val="1"/>
      <w:numFmt w:val="lowerRoman"/>
      <w:lvlText w:val="%9."/>
      <w:lvlJc w:val="right"/>
      <w:pPr>
        <w:ind w:left="7547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lvl w:ilvl="0">
      <w:start w:val="1"/>
      <w:numFmt w:val="lowerLetter"/>
      <w:lvlText w:val="(%1)"/>
      <w:lvlJc w:val="left"/>
      <w:pPr>
        <w:ind w:left="360" w:hanging="360"/>
      </w:pPr>
      <w:rPr>
        <w:sz w:val="22"/>
        <w:rFonts w:ascii="Arial" w:hAnsi="Arial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Roman"/>
      <w:lvlText w:val="(%1)"/>
      <w:lvlJc w:val="left"/>
      <w:pPr>
        <w:ind w:left="1287" w:hanging="720"/>
      </w:pPr>
      <w:rPr>
        <w:sz w:val="24"/>
        <w:b/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0" w:semiHidden="0" w:unhideWhenUsed="0" w:qFormat="1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244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e4e3c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511f0"/>
    <w:pPr>
      <w:keepNext/>
      <w:numPr>
        <w:ilvl w:val="4"/>
        <w:numId w:val="1"/>
      </w:numPr>
      <w:tabs>
        <w:tab w:val="left" w:pos="1773" w:leader="none"/>
      </w:tabs>
      <w:suppressAutoHyphens w:val="true"/>
      <w:spacing w:lineRule="auto" w:line="240" w:before="0" w:after="0"/>
      <w:outlineLvl w:val="4"/>
      <w:outlineLvl w:val="4"/>
    </w:pPr>
    <w:rPr>
      <w:rFonts w:ascii="Times New Roman" w:hAnsi="Times New Roman" w:eastAsia="Times New Roman"/>
      <w:b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link w:val="Corpodetexto"/>
    <w:qFormat/>
    <w:rsid w:val="00f511f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tulo5Char" w:customStyle="1">
    <w:name w:val="Título 5 Char"/>
    <w:link w:val="Ttulo5"/>
    <w:qFormat/>
    <w:rsid w:val="00f511f0"/>
    <w:rPr>
      <w:rFonts w:ascii="Times New Roman" w:hAnsi="Times New Roman" w:eastAsia="Times New Roman" w:cs="Times New Roman"/>
      <w:b/>
      <w:sz w:val="20"/>
      <w:szCs w:val="20"/>
      <w:lang w:eastAsia="zh-CN"/>
    </w:rPr>
  </w:style>
  <w:style w:type="character" w:styleId="TextodenotadefimChar" w:customStyle="1">
    <w:name w:val="Texto de nota de fim Char"/>
    <w:link w:val="Textodenotadefim"/>
    <w:qFormat/>
    <w:rsid w:val="00f511f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tulo1Char" w:customStyle="1">
    <w:name w:val="Título 1 Char"/>
    <w:link w:val="Ttulo1"/>
    <w:uiPriority w:val="9"/>
    <w:qFormat/>
    <w:rsid w:val="00be4e3c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Recuodecorpodetexto2Char" w:customStyle="1">
    <w:name w:val="Recuo de corpo de texto 2 Char"/>
    <w:basedOn w:val="DefaultParagraphFont"/>
    <w:link w:val="Recuodecorpodetexto2"/>
    <w:uiPriority w:val="99"/>
    <w:qFormat/>
    <w:rsid w:val="00be4e3c"/>
    <w:rPr/>
  </w:style>
  <w:style w:type="character" w:styleId="TextodebaloChar" w:customStyle="1">
    <w:name w:val="Texto de balão Char"/>
    <w:link w:val="Textodebalo"/>
    <w:uiPriority w:val="99"/>
    <w:semiHidden/>
    <w:qFormat/>
    <w:rsid w:val="00077660"/>
    <w:rPr>
      <w:rFonts w:ascii="Tahoma" w:hAnsi="Tahoma" w:cs="Tahoma"/>
      <w:sz w:val="16"/>
      <w:szCs w:val="16"/>
    </w:rPr>
  </w:style>
  <w:style w:type="character" w:styleId="WW8Num1z6" w:customStyle="1">
    <w:name w:val="WW8Num1z6"/>
    <w:qFormat/>
    <w:rsid w:val="009717fa"/>
    <w:rPr/>
  </w:style>
  <w:style w:type="character" w:styleId="Annotationreference">
    <w:name w:val="annotation reference"/>
    <w:uiPriority w:val="99"/>
    <w:semiHidden/>
    <w:unhideWhenUsed/>
    <w:qFormat/>
    <w:rsid w:val="008a18f0"/>
    <w:rPr>
      <w:sz w:val="18"/>
      <w:szCs w:val="18"/>
    </w:rPr>
  </w:style>
  <w:style w:type="character" w:styleId="TextodecomentrioChar" w:customStyle="1">
    <w:name w:val="Texto de comentário Char"/>
    <w:link w:val="Textodecomentrio"/>
    <w:uiPriority w:val="99"/>
    <w:semiHidden/>
    <w:qFormat/>
    <w:rsid w:val="008a18f0"/>
    <w:rPr>
      <w:sz w:val="24"/>
      <w:szCs w:val="24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rsid w:val="008a18f0"/>
    <w:rPr>
      <w:b/>
      <w:bCs/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fe015e"/>
    <w:rPr>
      <w:sz w:val="22"/>
      <w:szCs w:val="22"/>
      <w:lang w:eastAsia="en-US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fe015e"/>
    <w:rPr>
      <w:sz w:val="22"/>
      <w:szCs w:val="22"/>
      <w:lang w:eastAsia="en-US"/>
    </w:rPr>
  </w:style>
  <w:style w:type="character" w:styleId="TextoemblocoChar" w:customStyle="1">
    <w:name w:val="Texto em bloco Char"/>
    <w:link w:val="Textoembloco"/>
    <w:qFormat/>
    <w:locked/>
    <w:rsid w:val="00a22bbb"/>
    <w:rPr>
      <w:rFonts w:ascii="Times New Roman" w:hAnsi="Times New Roman" w:eastAsia="Times New Roman"/>
      <w:b/>
      <w:sz w:val="22"/>
      <w:szCs w:val="24"/>
      <w:lang w:val="en-US" w:eastAsia="en-US"/>
    </w:rPr>
  </w:style>
  <w:style w:type="character" w:styleId="WW8Num1z2" w:customStyle="1">
    <w:name w:val="WW8Num1z2"/>
    <w:qFormat/>
    <w:rsid w:val="00171596"/>
    <w:rPr>
      <w:rFonts w:ascii="Courier New" w:hAnsi="Courier New" w:cs="Courier New"/>
    </w:rPr>
  </w:style>
  <w:style w:type="character" w:styleId="LinkdaInternet">
    <w:name w:val="Link da Internet"/>
    <w:basedOn w:val="DefaultParagraphFont"/>
    <w:uiPriority w:val="99"/>
    <w:semiHidden/>
    <w:unhideWhenUsed/>
    <w:rsid w:val="005b0f1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/>
      <w:b/>
    </w:rPr>
  </w:style>
  <w:style w:type="character" w:styleId="ListLabel6">
    <w:name w:val="ListLabel 6"/>
    <w:qFormat/>
    <w:rPr>
      <w:color w:val="00000A"/>
      <w:sz w:val="24"/>
      <w:szCs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Arial" w:hAnsi="Arial" w:cs="Times New Roman"/>
      <w:b/>
      <w:sz w:val="24"/>
      <w:szCs w:val="24"/>
    </w:rPr>
  </w:style>
  <w:style w:type="character" w:styleId="ListLabel10">
    <w:name w:val="ListLabel 10"/>
    <w:qFormat/>
    <w:rPr>
      <w:rFonts w:ascii="Arial" w:hAnsi="Arial" w:eastAsia="Times New Roman" w:cs="Times New Roman"/>
      <w:sz w:val="22"/>
    </w:rPr>
  </w:style>
  <w:style w:type="character" w:styleId="ListLabel11">
    <w:name w:val="ListLabel 11"/>
    <w:qFormat/>
    <w:rPr>
      <w:b w:val="false"/>
      <w:color w:val="00000A"/>
    </w:rPr>
  </w:style>
  <w:style w:type="character" w:styleId="ListLabel12">
    <w:name w:val="ListLabel 12"/>
    <w:qFormat/>
    <w:rPr>
      <w:b/>
      <w:color w:val="4472C4"/>
    </w:rPr>
  </w:style>
  <w:style w:type="character" w:styleId="ListLabel13">
    <w:name w:val="ListLabel 13"/>
    <w:qFormat/>
    <w:rPr>
      <w:color w:val="00000A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Times New Roman"/>
      <w:b/>
      <w:color w:val="76923C"/>
      <w:sz w:val="32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rFonts w:ascii="Arial" w:hAnsi="Arial"/>
      <w:b/>
      <w:color w:val="00000A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rsid w:val="00f511f0"/>
    <w:pPr>
      <w:suppressAutoHyphens w:val="true"/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zh-CN"/>
    </w:rPr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extodecomentrio1" w:customStyle="1">
    <w:name w:val="Texto de comentário1"/>
    <w:basedOn w:val="Normal"/>
    <w:qFormat/>
    <w:rsid w:val="00f511f0"/>
    <w:pPr>
      <w:suppressAutoHyphens w:val="true"/>
    </w:pPr>
    <w:rPr>
      <w:rFonts w:cs="Calibri"/>
      <w:sz w:val="20"/>
      <w:szCs w:val="20"/>
      <w:lang w:eastAsia="zh-CN"/>
    </w:rPr>
  </w:style>
  <w:style w:type="paragraph" w:styleId="Endnotetext">
    <w:name w:val="endnote text"/>
    <w:basedOn w:val="Normal"/>
    <w:link w:val="TextodenotadefimChar"/>
    <w:qFormat/>
    <w:rsid w:val="00f511f0"/>
    <w:pPr>
      <w:suppressAutoHyphens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zh-CN"/>
    </w:rPr>
  </w:style>
  <w:style w:type="paragraph" w:styleId="ListaColoridanfase11" w:customStyle="1">
    <w:name w:val="Lista Colorida - Ênfase 11"/>
    <w:basedOn w:val="Normal"/>
    <w:qFormat/>
    <w:rsid w:val="00bb7ce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a075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unhideWhenUsed/>
    <w:qFormat/>
    <w:rsid w:val="00be4e3c"/>
    <w:pPr>
      <w:spacing w:lineRule="auto" w:line="480" w:before="0" w:after="120"/>
      <w:ind w:left="283" w:hanging="0"/>
    </w:pPr>
    <w:rPr/>
  </w:style>
  <w:style w:type="paragraph" w:styleId="BlockText">
    <w:name w:val="Block Text"/>
    <w:basedOn w:val="Normal"/>
    <w:link w:val="TextoemblocoChar"/>
    <w:qFormat/>
    <w:rsid w:val="00be4e3c"/>
    <w:pPr>
      <w:spacing w:lineRule="auto" w:line="240" w:before="0" w:after="0"/>
      <w:ind w:left="480" w:right="480" w:hanging="0"/>
    </w:pPr>
    <w:rPr>
      <w:rFonts w:ascii="Times New Roman" w:hAnsi="Times New Roman" w:eastAsia="Times New Roman"/>
      <w:b/>
      <w:szCs w:val="24"/>
      <w:lang w:val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77660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1" w:customStyle="1">
    <w:name w:val="List Paragraph1"/>
    <w:basedOn w:val="Normal"/>
    <w:qFormat/>
    <w:rsid w:val="009717fa"/>
    <w:pPr>
      <w:suppressAutoHyphens w:val="true"/>
      <w:spacing w:before="0" w:after="200"/>
      <w:ind w:left="720" w:hanging="0"/>
      <w:contextualSpacing/>
    </w:pPr>
    <w:rPr>
      <w:lang w:eastAsia="zh-CN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8a18f0"/>
    <w:pPr/>
    <w:rPr>
      <w:sz w:val="24"/>
      <w:szCs w:val="24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8a18f0"/>
    <w:pPr/>
    <w:rPr>
      <w:b/>
      <w:bCs/>
    </w:rPr>
  </w:style>
  <w:style w:type="paragraph" w:styleId="ListParagraph">
    <w:name w:val="List Paragraph"/>
    <w:basedOn w:val="Normal"/>
    <w:qFormat/>
    <w:rsid w:val="007778a5"/>
    <w:pPr>
      <w:ind w:left="708" w:hanging="0"/>
    </w:pPr>
    <w:rPr/>
  </w:style>
  <w:style w:type="paragraph" w:styleId="Cabealho">
    <w:name w:val="Header"/>
    <w:basedOn w:val="Normal"/>
    <w:link w:val="CabealhoChar"/>
    <w:uiPriority w:val="99"/>
    <w:unhideWhenUsed/>
    <w:rsid w:val="00fe015e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fe015e"/>
    <w:pPr>
      <w:tabs>
        <w:tab w:val="center" w:pos="4252" w:leader="none"/>
        <w:tab w:val="right" w:pos="8504" w:leader="none"/>
      </w:tabs>
    </w:pPr>
    <w:rPr/>
  </w:style>
  <w:style w:type="paragraph" w:styleId="NoSpacing">
    <w:name w:val="No Spacing"/>
    <w:uiPriority w:val="1"/>
    <w:qFormat/>
    <w:rsid w:val="00d753b2"/>
    <w:pPr>
      <w:widowControl w:val="false"/>
      <w:bidi w:val="0"/>
      <w:jc w:val="left"/>
    </w:pPr>
    <w:rPr>
      <w:rFonts w:ascii="Arial" w:hAnsi="Arial" w:eastAsia="Arial" w:cs="Times New Roman"/>
      <w:color w:val="auto"/>
      <w:sz w:val="22"/>
      <w:szCs w:val="22"/>
      <w:lang w:val="en-US" w:eastAsia="en-US" w:bidi="ar-SA"/>
    </w:rPr>
  </w:style>
  <w:style w:type="paragraph" w:styleId="Style21" w:customStyle="1">
    <w:name w:val="Style21"/>
    <w:basedOn w:val="Normal"/>
    <w:qFormat/>
    <w:rsid w:val="00a22bbb"/>
    <w:pPr>
      <w:widowControl w:val="false"/>
      <w:spacing w:lineRule="auto" w:line="240" w:before="0" w:after="0"/>
    </w:pPr>
    <w:rPr>
      <w:rFonts w:ascii="Cambria" w:hAnsi="Cambria" w:eastAsia="Batang"/>
      <w:sz w:val="24"/>
      <w:szCs w:val="24"/>
      <w:lang w:eastAsia="ko-KR"/>
    </w:rPr>
  </w:style>
  <w:style w:type="paragraph" w:styleId="Revision">
    <w:name w:val="Revision"/>
    <w:uiPriority w:val="99"/>
    <w:semiHidden/>
    <w:qFormat/>
    <w:rsid w:val="00171596"/>
    <w:pPr>
      <w:widowControl/>
      <w:bidi w:val="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b6cf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F6117-D509-4BE6-B8B2-8D91D09A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LibreOffice/5.1.6.2$Linux_X86_64 LibreOffice_project/10m0$Build-2</Application>
  <Pages>12</Pages>
  <Words>4465</Words>
  <CharactersWithSpaces>24116</CharactersWithSpaces>
  <Paragraphs>57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2018-09-19T14:13:00Z</dcterms:created>
  <dc:creator>edson</dc:creator>
  <dc:description/>
  <dc:language>pt-BR</dc:language>
  <cp:lastModifiedBy>helio.corazza</cp:lastModifiedBy>
  <cp:lastPrinted>2013-12-13T20:05:00Z</cp:lastPrinted>
  <dcterms:modified xsi:type="dcterms:W3CDTF">2018-09-24T11:50:00Z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